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E26" w:rsidRDefault="005C2B0D">
      <w:pPr>
        <w:spacing w:line="360" w:lineRule="auto"/>
        <w:jc w:val="left"/>
        <w:rPr>
          <w:rFonts w:ascii="宋体" w:hAnsi="宋体" w:cs="宋体"/>
          <w:b/>
          <w:kern w:val="0"/>
          <w:sz w:val="24"/>
          <w:szCs w:val="30"/>
        </w:rPr>
      </w:pPr>
      <w:r>
        <w:rPr>
          <w:rFonts w:ascii="宋体" w:hAnsi="宋体" w:cs="宋体" w:hint="eastAsia"/>
          <w:b/>
          <w:kern w:val="0"/>
          <w:sz w:val="24"/>
          <w:szCs w:val="30"/>
        </w:rPr>
        <w:t>一、货物需求明细及技术参数要求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
        <w:gridCol w:w="711"/>
        <w:gridCol w:w="752"/>
        <w:gridCol w:w="851"/>
        <w:gridCol w:w="5623"/>
        <w:gridCol w:w="488"/>
        <w:gridCol w:w="488"/>
      </w:tblGrid>
      <w:tr w:rsidR="004B7E26">
        <w:trPr>
          <w:trHeight w:val="648"/>
        </w:trPr>
        <w:tc>
          <w:tcPr>
            <w:tcW w:w="488" w:type="dxa"/>
            <w:vMerge w:val="restart"/>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序号</w:t>
            </w:r>
          </w:p>
        </w:tc>
        <w:tc>
          <w:tcPr>
            <w:tcW w:w="711" w:type="dxa"/>
            <w:vMerge w:val="restart"/>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货物名称</w:t>
            </w:r>
          </w:p>
        </w:tc>
        <w:tc>
          <w:tcPr>
            <w:tcW w:w="7226" w:type="dxa"/>
            <w:gridSpan w:val="3"/>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技术要求</w:t>
            </w:r>
          </w:p>
        </w:tc>
        <w:tc>
          <w:tcPr>
            <w:tcW w:w="488" w:type="dxa"/>
            <w:vMerge w:val="restart"/>
            <w:shd w:val="clear" w:color="auto" w:fill="auto"/>
            <w:vAlign w:val="center"/>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单位</w:t>
            </w:r>
          </w:p>
        </w:tc>
        <w:tc>
          <w:tcPr>
            <w:tcW w:w="488" w:type="dxa"/>
            <w:vMerge w:val="restart"/>
            <w:shd w:val="clear" w:color="auto" w:fill="auto"/>
            <w:vAlign w:val="center"/>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数量</w:t>
            </w:r>
          </w:p>
        </w:tc>
      </w:tr>
      <w:tr w:rsidR="004B7E26">
        <w:trPr>
          <w:trHeight w:val="468"/>
        </w:trPr>
        <w:tc>
          <w:tcPr>
            <w:tcW w:w="488" w:type="dxa"/>
            <w:vMerge/>
            <w:shd w:val="clear" w:color="auto" w:fill="auto"/>
          </w:tcPr>
          <w:p w:rsidR="004B7E26" w:rsidRDefault="004B7E26">
            <w:pPr>
              <w:spacing w:beforeLines="75" w:before="234" w:line="360" w:lineRule="auto"/>
              <w:jc w:val="center"/>
              <w:rPr>
                <w:rFonts w:ascii="宋体" w:hAnsi="宋体" w:cs="宋体"/>
                <w:kern w:val="0"/>
                <w:sz w:val="24"/>
              </w:rPr>
            </w:pPr>
          </w:p>
        </w:tc>
        <w:tc>
          <w:tcPr>
            <w:tcW w:w="711" w:type="dxa"/>
            <w:vMerge/>
            <w:shd w:val="clear" w:color="auto" w:fill="auto"/>
          </w:tcPr>
          <w:p w:rsidR="004B7E26" w:rsidRDefault="004B7E26">
            <w:pPr>
              <w:spacing w:beforeLines="75" w:before="234" w:line="360" w:lineRule="auto"/>
              <w:jc w:val="center"/>
              <w:rPr>
                <w:rFonts w:ascii="宋体" w:hAnsi="宋体" w:cs="宋体"/>
                <w:kern w:val="0"/>
                <w:sz w:val="24"/>
              </w:rPr>
            </w:pPr>
          </w:p>
        </w:tc>
        <w:tc>
          <w:tcPr>
            <w:tcW w:w="752" w:type="dxa"/>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项目</w:t>
            </w:r>
          </w:p>
        </w:tc>
        <w:tc>
          <w:tcPr>
            <w:tcW w:w="851" w:type="dxa"/>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编号</w:t>
            </w:r>
          </w:p>
        </w:tc>
        <w:tc>
          <w:tcPr>
            <w:tcW w:w="5623" w:type="dxa"/>
            <w:shd w:val="clear" w:color="auto" w:fill="auto"/>
          </w:tcPr>
          <w:p w:rsidR="004B7E26" w:rsidRDefault="005C2B0D">
            <w:pPr>
              <w:spacing w:beforeLines="75" w:before="234" w:line="360" w:lineRule="auto"/>
              <w:jc w:val="center"/>
              <w:rPr>
                <w:rFonts w:ascii="宋体" w:hAnsi="宋体" w:cs="宋体"/>
                <w:kern w:val="0"/>
                <w:sz w:val="24"/>
              </w:rPr>
            </w:pPr>
            <w:r>
              <w:rPr>
                <w:rFonts w:ascii="宋体" w:hAnsi="宋体" w:cs="宋体" w:hint="eastAsia"/>
                <w:kern w:val="0"/>
                <w:sz w:val="24"/>
              </w:rPr>
              <w:t>技术参数</w:t>
            </w:r>
          </w:p>
        </w:tc>
        <w:tc>
          <w:tcPr>
            <w:tcW w:w="488" w:type="dxa"/>
            <w:vMerge/>
            <w:shd w:val="clear" w:color="auto" w:fill="auto"/>
            <w:vAlign w:val="center"/>
          </w:tcPr>
          <w:p w:rsidR="004B7E26" w:rsidRDefault="004B7E26">
            <w:pPr>
              <w:spacing w:beforeLines="75" w:before="234"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Lines="75" w:before="234" w:line="360" w:lineRule="auto"/>
              <w:jc w:val="center"/>
              <w:rPr>
                <w:rFonts w:ascii="宋体" w:hAnsi="宋体" w:cs="宋体"/>
                <w:kern w:val="0"/>
                <w:sz w:val="24"/>
              </w:rPr>
            </w:pPr>
          </w:p>
        </w:tc>
      </w:tr>
      <w:tr w:rsidR="004B7E26">
        <w:trPr>
          <w:trHeight w:val="584"/>
        </w:trPr>
        <w:tc>
          <w:tcPr>
            <w:tcW w:w="488"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1</w:t>
            </w:r>
          </w:p>
        </w:tc>
        <w:tc>
          <w:tcPr>
            <w:tcW w:w="711"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车厢可卸式</w:t>
            </w:r>
            <w:proofErr w:type="gramStart"/>
            <w:r>
              <w:rPr>
                <w:rFonts w:ascii="宋体" w:hAnsi="宋体" w:cs="宋体" w:hint="eastAsia"/>
                <w:kern w:val="0"/>
                <w:sz w:val="24"/>
              </w:rPr>
              <w:t>圾圾</w:t>
            </w:r>
            <w:proofErr w:type="gramEnd"/>
            <w:r>
              <w:rPr>
                <w:rFonts w:ascii="宋体" w:hAnsi="宋体" w:cs="宋体" w:hint="eastAsia"/>
                <w:kern w:val="0"/>
                <w:sz w:val="24"/>
              </w:rPr>
              <w:t>车</w:t>
            </w:r>
          </w:p>
        </w:tc>
        <w:tc>
          <w:tcPr>
            <w:tcW w:w="752" w:type="dxa"/>
            <w:vMerge w:val="restart"/>
            <w:shd w:val="clear" w:color="auto" w:fill="auto"/>
            <w:vAlign w:val="center"/>
          </w:tcPr>
          <w:p w:rsidR="004B7E26" w:rsidRDefault="005C2B0D">
            <w:pPr>
              <w:spacing w:before="75" w:line="360" w:lineRule="auto"/>
              <w:jc w:val="left"/>
              <w:rPr>
                <w:rFonts w:ascii="宋体" w:hAnsi="宋体" w:cs="宋体"/>
                <w:kern w:val="0"/>
                <w:sz w:val="24"/>
              </w:rPr>
            </w:pPr>
            <w:r>
              <w:rPr>
                <w:rFonts w:ascii="宋体" w:hAnsi="宋体" w:cs="宋体" w:hint="eastAsia"/>
                <w:kern w:val="0"/>
                <w:sz w:val="24"/>
              </w:rPr>
              <w:t>整车要求</w:t>
            </w: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车厢可卸式垃圾车由汽车底盘和拉臂</w:t>
            </w:r>
            <w:proofErr w:type="gramStart"/>
            <w:r>
              <w:rPr>
                <w:rFonts w:ascii="宋体" w:hAnsi="宋体" w:cs="宋体" w:hint="eastAsia"/>
                <w:kern w:val="0"/>
                <w:sz w:val="24"/>
              </w:rPr>
              <w:t>钩</w:t>
            </w:r>
            <w:proofErr w:type="gramEnd"/>
            <w:r>
              <w:rPr>
                <w:rFonts w:ascii="宋体" w:hAnsi="宋体" w:cs="宋体" w:hint="eastAsia"/>
                <w:kern w:val="0"/>
                <w:sz w:val="24"/>
              </w:rPr>
              <w:t>总成组成。全部作业均由随车发动机</w:t>
            </w:r>
            <w:proofErr w:type="gramStart"/>
            <w:r>
              <w:rPr>
                <w:rFonts w:ascii="宋体" w:hAnsi="宋体" w:cs="宋体" w:hint="eastAsia"/>
                <w:kern w:val="0"/>
                <w:sz w:val="24"/>
              </w:rPr>
              <w:t>通过取力器</w:t>
            </w:r>
            <w:proofErr w:type="gramEnd"/>
            <w:r>
              <w:rPr>
                <w:rFonts w:ascii="宋体" w:hAnsi="宋体" w:cs="宋体" w:hint="eastAsia"/>
                <w:kern w:val="0"/>
                <w:sz w:val="24"/>
              </w:rPr>
              <w:t>驱动拉臂</w:t>
            </w:r>
            <w:proofErr w:type="gramStart"/>
            <w:r>
              <w:rPr>
                <w:rFonts w:ascii="宋体" w:hAnsi="宋体" w:cs="宋体" w:hint="eastAsia"/>
                <w:kern w:val="0"/>
                <w:sz w:val="24"/>
              </w:rPr>
              <w:t>钩</w:t>
            </w:r>
            <w:proofErr w:type="gramEnd"/>
            <w:r>
              <w:rPr>
                <w:rFonts w:ascii="宋体" w:hAnsi="宋体" w:cs="宋体" w:hint="eastAsia"/>
                <w:kern w:val="0"/>
                <w:sz w:val="24"/>
              </w:rPr>
              <w:t>总成的液压系统完成。配合移动式垃圾压缩转运箱使用，实现与箱体的直接挂接装箱、卸箱、垃圾倾倒等动作。其动作可实现直接在驾驶室内或是室外均能完成操作；</w:t>
            </w:r>
          </w:p>
        </w:tc>
        <w:tc>
          <w:tcPr>
            <w:tcW w:w="488"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台</w:t>
            </w:r>
          </w:p>
        </w:tc>
        <w:tc>
          <w:tcPr>
            <w:tcW w:w="488" w:type="dxa"/>
            <w:vMerge w:val="restart"/>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52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bCs/>
                <w:sz w:val="24"/>
              </w:rPr>
              <w:t>★</w:t>
            </w:r>
            <w:r>
              <w:rPr>
                <w:rFonts w:ascii="宋体" w:hAnsi="宋体" w:hint="eastAsia"/>
                <w:sz w:val="24"/>
              </w:rPr>
              <w:t>外型尺寸：8160×2400×3100(ｍｍ)≤ 长×宽×高≤8300×2500×3130(ｍｍ)；</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0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cs="宋体" w:hint="eastAsia"/>
                <w:kern w:val="0"/>
                <w:sz w:val="24"/>
              </w:rPr>
              <w:t>★</w:t>
            </w:r>
            <w:proofErr w:type="gramStart"/>
            <w:r>
              <w:rPr>
                <w:rFonts w:ascii="宋体" w:hAnsi="宋体" w:cs="宋体" w:hint="eastAsia"/>
                <w:kern w:val="0"/>
                <w:sz w:val="24"/>
              </w:rPr>
              <w:t>最大总</w:t>
            </w:r>
            <w:proofErr w:type="gramEnd"/>
            <w:r>
              <w:rPr>
                <w:rFonts w:ascii="宋体" w:hAnsi="宋体" w:cs="宋体" w:hint="eastAsia"/>
                <w:kern w:val="0"/>
                <w:sz w:val="24"/>
              </w:rPr>
              <w:t xml:space="preserve">质量 </w:t>
            </w:r>
            <w:r w:rsidRPr="005C2B0D">
              <w:rPr>
                <w:rFonts w:ascii="宋体" w:hAnsi="宋体" w:hint="eastAsia"/>
                <w:color w:val="000000" w:themeColor="text1"/>
                <w:sz w:val="24"/>
              </w:rPr>
              <w:t>≤</w:t>
            </w:r>
            <w:r>
              <w:rPr>
                <w:rFonts w:ascii="宋体" w:hAnsi="宋体" w:cs="宋体" w:hint="eastAsia"/>
                <w:kern w:val="0"/>
                <w:sz w:val="24"/>
              </w:rPr>
              <w:t>25000kg；</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5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★额定装载质量≥13500kg；</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9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left"/>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★发动机额定功率:≥209KW；</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6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sz w:val="24"/>
              </w:rPr>
              <w:t>★排放标准：国五；</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8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sz w:val="24"/>
              </w:rPr>
              <w:t>★接近角/离去角≥19/22°；</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6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sz w:val="24"/>
              </w:rPr>
              <w:t>★轴距：≥</w:t>
            </w:r>
            <w:r>
              <w:rPr>
                <w:rFonts w:ascii="宋体" w:hAnsi="宋体"/>
                <w:sz w:val="24"/>
              </w:rPr>
              <w:t>4350</w:t>
            </w:r>
            <w:r>
              <w:rPr>
                <w:rFonts w:ascii="宋体" w:hAnsi="宋体" w:hint="eastAsia"/>
                <w:sz w:val="24"/>
              </w:rPr>
              <w:t>+1350(ｍｍ)</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3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sz w:val="24"/>
              </w:rPr>
              <w:t>★轮距（前/后）：≤1950/1850（ｍｍ）</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1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sz w:val="24"/>
              </w:rPr>
            </w:pPr>
            <w:r>
              <w:rPr>
                <w:rFonts w:ascii="宋体" w:hAnsi="宋体" w:hint="eastAsia"/>
                <w:sz w:val="24"/>
              </w:rPr>
              <w:t>最高车速：≥90Kｍ/ｈ</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61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拉臂</w:t>
            </w:r>
            <w:proofErr w:type="gramStart"/>
            <w:r>
              <w:rPr>
                <w:rFonts w:ascii="宋体" w:hAnsi="宋体" w:cs="宋体" w:hint="eastAsia"/>
                <w:kern w:val="0"/>
                <w:sz w:val="24"/>
              </w:rPr>
              <w:t>钩</w:t>
            </w:r>
            <w:proofErr w:type="gramEnd"/>
            <w:r>
              <w:rPr>
                <w:rFonts w:ascii="宋体" w:hAnsi="宋体" w:cs="宋体" w:hint="eastAsia"/>
                <w:kern w:val="0"/>
                <w:sz w:val="24"/>
              </w:rPr>
              <w:t>要</w:t>
            </w:r>
            <w:r>
              <w:rPr>
                <w:rFonts w:ascii="宋体" w:hAnsi="宋体" w:cs="宋体" w:hint="eastAsia"/>
                <w:kern w:val="0"/>
                <w:sz w:val="24"/>
              </w:rPr>
              <w:lastRenderedPageBreak/>
              <w:t>求</w:t>
            </w: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吊臂最大提升力（t）≥ 20；</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71"/>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tabs>
                <w:tab w:val="left" w:pos="1032"/>
              </w:tabs>
              <w:spacing w:beforeLines="75" w:before="234" w:line="360" w:lineRule="auto"/>
              <w:jc w:val="left"/>
              <w:rPr>
                <w:rFonts w:ascii="宋体" w:hAnsi="宋体" w:cs="宋体"/>
                <w:kern w:val="0"/>
                <w:sz w:val="24"/>
              </w:rPr>
            </w:pPr>
            <w:r>
              <w:rPr>
                <w:rFonts w:ascii="宋体" w:hAnsi="宋体" w:cs="宋体" w:hint="eastAsia"/>
                <w:kern w:val="0"/>
                <w:sz w:val="24"/>
              </w:rPr>
              <w:t>操纵方式：自动 +手动；</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1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hint="eastAsia"/>
                <w:sz w:val="24"/>
              </w:rPr>
              <w:t>拉臂动作形式：平移</w:t>
            </w:r>
            <w:r>
              <w:rPr>
                <w:rFonts w:hint="eastAsia"/>
                <w:sz w:val="24"/>
              </w:rPr>
              <w:t>+</w:t>
            </w:r>
            <w:r>
              <w:rPr>
                <w:rFonts w:hint="eastAsia"/>
                <w:sz w:val="24"/>
              </w:rPr>
              <w:t>翻转；</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24"/>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sz w:val="24"/>
              </w:rPr>
            </w:pPr>
            <w:r>
              <w:rPr>
                <w:rFonts w:hint="eastAsia"/>
                <w:sz w:val="24"/>
              </w:rPr>
              <w:t>拉臂</w:t>
            </w:r>
            <w:proofErr w:type="gramStart"/>
            <w:r>
              <w:rPr>
                <w:rFonts w:hint="eastAsia"/>
                <w:sz w:val="24"/>
              </w:rPr>
              <w:t>钩</w:t>
            </w:r>
            <w:proofErr w:type="gramEnd"/>
            <w:r>
              <w:rPr>
                <w:rFonts w:hint="eastAsia"/>
                <w:sz w:val="24"/>
              </w:rPr>
              <w:t>挂接高度标准为</w:t>
            </w:r>
            <w:r>
              <w:rPr>
                <w:rFonts w:hint="eastAsia"/>
                <w:sz w:val="24"/>
              </w:rPr>
              <w:t>1570mm</w:t>
            </w:r>
            <w:r>
              <w:rPr>
                <w:rFonts w:hint="eastAsia"/>
                <w:sz w:val="24"/>
              </w:rPr>
              <w:t>标准；</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3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其它要求</w:t>
            </w: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★车辆需加装与压缩</w:t>
            </w:r>
            <w:proofErr w:type="gramStart"/>
            <w:r>
              <w:rPr>
                <w:rFonts w:ascii="宋体" w:hAnsi="宋体" w:cs="宋体" w:hint="eastAsia"/>
                <w:kern w:val="0"/>
                <w:sz w:val="24"/>
              </w:rPr>
              <w:t>箱配套</w:t>
            </w:r>
            <w:proofErr w:type="gramEnd"/>
            <w:r>
              <w:rPr>
                <w:rFonts w:ascii="宋体" w:hAnsi="宋体" w:cs="宋体" w:hint="eastAsia"/>
                <w:kern w:val="0"/>
                <w:sz w:val="24"/>
              </w:rPr>
              <w:t>的尾气输出装置，该装置和垃圾箱加热口对接，驾驶员无需下车即可在车内完成装置的全部操作；</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0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1"/>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★车辆必需具有国家工信部规定的合法证明（公告目录），满足落籍要求。</w:t>
            </w: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10"/>
        </w:trPr>
        <w:tc>
          <w:tcPr>
            <w:tcW w:w="488"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2</w:t>
            </w:r>
          </w:p>
        </w:tc>
        <w:tc>
          <w:tcPr>
            <w:tcW w:w="711"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移动式垃圾压缩箱</w:t>
            </w: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整体要求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★整个垃圾压缩设备由压缩腔、压缩头、料斗举升装置及连体式料斗、压缩垃圾存储部分、后门及密封系统、 液压系统、控制系统等组成；</w:t>
            </w:r>
          </w:p>
        </w:tc>
        <w:tc>
          <w:tcPr>
            <w:tcW w:w="488" w:type="dxa"/>
            <w:vMerge w:val="restart"/>
            <w:shd w:val="clear" w:color="auto" w:fill="auto"/>
            <w:vAlign w:val="center"/>
          </w:tcPr>
          <w:p w:rsidR="004B7E26" w:rsidRDefault="00C00570">
            <w:pPr>
              <w:spacing w:before="75" w:line="360" w:lineRule="auto"/>
              <w:jc w:val="center"/>
              <w:rPr>
                <w:rFonts w:ascii="宋体" w:hAnsi="宋体" w:cs="宋体" w:hint="eastAsia"/>
                <w:b/>
                <w:kern w:val="0"/>
                <w:sz w:val="24"/>
              </w:rPr>
            </w:pPr>
            <w:r>
              <w:rPr>
                <w:rFonts w:ascii="宋体" w:hAnsi="宋体" w:cs="宋体" w:hint="eastAsia"/>
                <w:b/>
                <w:kern w:val="0"/>
                <w:sz w:val="24"/>
              </w:rPr>
              <w:t>个</w:t>
            </w:r>
            <w:bookmarkStart w:id="0" w:name="_GoBack"/>
            <w:bookmarkEnd w:id="0"/>
          </w:p>
        </w:tc>
        <w:tc>
          <w:tcPr>
            <w:tcW w:w="488" w:type="dxa"/>
            <w:vMerge w:val="restart"/>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3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★外形尺寸：6100×2450×2400（mm）≤长×宽×高≤6200</w:t>
            </w:r>
            <w:proofErr w:type="gramStart"/>
            <w:r>
              <w:rPr>
                <w:rFonts w:ascii="宋体" w:hAnsi="宋体" w:cs="宋体" w:hint="eastAsia"/>
                <w:kern w:val="0"/>
                <w:sz w:val="24"/>
              </w:rPr>
              <w:t>×</w:t>
            </w:r>
            <w:r w:rsidRPr="005C2B0D">
              <w:rPr>
                <w:rFonts w:ascii="宋体" w:hAnsi="宋体" w:cs="宋体" w:hint="eastAsia"/>
                <w:kern w:val="0"/>
                <w:sz w:val="24"/>
              </w:rPr>
              <w:t>2500</w:t>
            </w:r>
            <w:r>
              <w:rPr>
                <w:rFonts w:ascii="宋体" w:hAnsi="宋体" w:cs="宋体" w:hint="eastAsia"/>
                <w:kern w:val="0"/>
                <w:sz w:val="24"/>
              </w:rPr>
              <w:t>×2500</w:t>
            </w:r>
            <w:proofErr w:type="gramEnd"/>
            <w:r>
              <w:rPr>
                <w:rFonts w:ascii="宋体" w:hAnsi="宋体" w:cs="宋体" w:hint="eastAsia"/>
                <w:kern w:val="0"/>
                <w:sz w:val="24"/>
              </w:rPr>
              <w:t>（mm）；</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5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压缩腔、压缩</w:t>
            </w:r>
            <w:proofErr w:type="gramStart"/>
            <w:r>
              <w:rPr>
                <w:rFonts w:ascii="宋体" w:hAnsi="宋体" w:cs="宋体" w:hint="eastAsia"/>
                <w:kern w:val="0"/>
                <w:sz w:val="24"/>
              </w:rPr>
              <w:t>头要求</w:t>
            </w:r>
            <w:proofErr w:type="gramEnd"/>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压缩头在压缩腔内为无导轨、小间隙、水平式运动；压缩</w:t>
            </w:r>
            <w:proofErr w:type="gramStart"/>
            <w:r>
              <w:rPr>
                <w:rFonts w:ascii="宋体" w:hAnsi="宋体" w:cs="宋体" w:hint="eastAsia"/>
                <w:kern w:val="0"/>
                <w:sz w:val="24"/>
              </w:rPr>
              <w:t>腔</w:t>
            </w:r>
            <w:proofErr w:type="gramEnd"/>
            <w:r>
              <w:rPr>
                <w:rFonts w:ascii="宋体" w:hAnsi="宋体" w:cs="宋体" w:hint="eastAsia"/>
                <w:kern w:val="0"/>
                <w:sz w:val="24"/>
              </w:rPr>
              <w:t>后部应有排污口，采用消防接头密封；（提供设备照片说明）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197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★设备的压缩头除可以通过设备液压系统驱动外，应能在设备倾倒垃圾时通过车厢可卸式垃圾车液压系统驱动进行前后运动，避免垃圾倾倒不干净，在驾驶内即可进行操控；（提供设备图片说明）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6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料斗举升装置及连体式</w:t>
            </w:r>
            <w:r>
              <w:rPr>
                <w:rFonts w:ascii="宋体" w:hAnsi="宋体" w:cs="宋体" w:hint="eastAsia"/>
                <w:kern w:val="0"/>
                <w:sz w:val="24"/>
              </w:rPr>
              <w:lastRenderedPageBreak/>
              <w:t>料斗要求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设备的料斗采用连体式结构，料斗放下时与收集车对接，料斗升起时封闭压缩腔；</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7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2250mm≤料斗有效宽度≤2350mm；</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5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2380mm≤料斗</w:t>
            </w:r>
            <w:proofErr w:type="gramStart"/>
            <w:r>
              <w:rPr>
                <w:rFonts w:ascii="宋体" w:hAnsi="宋体" w:cs="宋体" w:hint="eastAsia"/>
                <w:kern w:val="0"/>
                <w:sz w:val="24"/>
              </w:rPr>
              <w:t>最大净深</w:t>
            </w:r>
            <w:proofErr w:type="gramEnd"/>
            <w:r>
              <w:rPr>
                <w:rFonts w:ascii="宋体" w:hAnsi="宋体" w:cs="宋体" w:hint="eastAsia"/>
                <w:kern w:val="0"/>
                <w:sz w:val="24"/>
              </w:rPr>
              <w:t>≤2480mm；</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8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1.8m³≤料斗有效容积≤2.0m³；</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2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压缩垃圾存储部分要求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压缩垃圾存储部分侧边板及后门面板应为整板制作，不应有接焊和外漏加强筋；（提供设备图片及生产流程照片证明）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2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压缩垃圾存储部分的整体造型应为倒锥体，倒料口大于压缩口，保证垃圾可以依靠自重完全倾倒出箱；（提供设备明显图片说明）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64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★箱体容积≥ 17m³，理论垃圾处理能力≥ 120m³/h；</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744"/>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垃圾存储箱部位应带有双层加热结构，可以与车厢可卸式垃圾车的尾气加热装置自动对接，在箱体装车后可对垃圾存储箱部位进行加热，以保证冬季使用；（提供设备图片说明）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2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后门及密封系统要求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后门应为整板制作，无外漏加强筋；（提供设备图片说明）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61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后门锁</w:t>
            </w:r>
            <w:proofErr w:type="gramStart"/>
            <w:r>
              <w:rPr>
                <w:rFonts w:ascii="宋体" w:hAnsi="宋体" w:cs="宋体" w:hint="eastAsia"/>
                <w:kern w:val="0"/>
                <w:sz w:val="24"/>
              </w:rPr>
              <w:t>紧采用</w:t>
            </w:r>
            <w:proofErr w:type="gramEnd"/>
            <w:r>
              <w:rPr>
                <w:rFonts w:ascii="宋体" w:hAnsi="宋体" w:cs="宋体" w:hint="eastAsia"/>
                <w:kern w:val="0"/>
                <w:sz w:val="24"/>
              </w:rPr>
              <w:t>从车箱可卸式</w:t>
            </w:r>
            <w:proofErr w:type="gramStart"/>
            <w:r>
              <w:rPr>
                <w:rFonts w:ascii="宋体" w:hAnsi="宋体" w:cs="宋体" w:hint="eastAsia"/>
                <w:kern w:val="0"/>
                <w:sz w:val="24"/>
              </w:rPr>
              <w:t>垃圾车取力的</w:t>
            </w:r>
            <w:proofErr w:type="gramEnd"/>
            <w:r>
              <w:rPr>
                <w:rFonts w:ascii="宋体" w:hAnsi="宋体" w:cs="宋体" w:hint="eastAsia"/>
                <w:kern w:val="0"/>
                <w:sz w:val="24"/>
              </w:rPr>
              <w:t>液压锁紧装置锁紧，可在驾驶室内进行开门、倾倒、锁门的所有作业；（提供设备图片说明）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67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后门密封采用可产生双道密封线的密封件；</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04"/>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液压系统要求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★液压系统关键元器件：电机、叶片泵、控制阀、 管路密封件均应采用</w:t>
            </w:r>
            <w:r w:rsidRPr="005C2B0D">
              <w:rPr>
                <w:rFonts w:ascii="宋体" w:hAnsi="宋体" w:cs="宋体" w:hint="eastAsia"/>
                <w:kern w:val="0"/>
                <w:sz w:val="24"/>
              </w:rPr>
              <w:t>正规品牌件</w:t>
            </w:r>
            <w:r>
              <w:rPr>
                <w:rFonts w:ascii="宋体" w:hAnsi="宋体" w:cs="宋体" w:hint="eastAsia"/>
                <w:kern w:val="0"/>
                <w:sz w:val="24"/>
              </w:rPr>
              <w:t>；（提供元器件品牌、型号或相关采购证明）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44"/>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sidRPr="005C2B0D">
              <w:rPr>
                <w:rFonts w:ascii="宋体" w:hAnsi="宋体" w:cs="宋体" w:hint="eastAsia"/>
                <w:kern w:val="0"/>
                <w:sz w:val="24"/>
              </w:rPr>
              <w:t>★</w:t>
            </w:r>
            <w:r>
              <w:rPr>
                <w:rFonts w:ascii="宋体" w:hAnsi="宋体" w:cs="宋体" w:hint="eastAsia"/>
                <w:kern w:val="0"/>
                <w:sz w:val="24"/>
              </w:rPr>
              <w:t>液压系统中压缩油缸应确保其耐腐蚀性，保证</w:t>
            </w:r>
            <w:r w:rsidRPr="005C2B0D">
              <w:rPr>
                <w:rFonts w:ascii="宋体" w:hAnsi="宋体" w:cs="宋体" w:hint="eastAsia"/>
                <w:kern w:val="0"/>
                <w:sz w:val="24"/>
              </w:rPr>
              <w:t>不低于3年</w:t>
            </w:r>
            <w:r>
              <w:rPr>
                <w:rFonts w:ascii="宋体" w:hAnsi="宋体" w:cs="宋体" w:hint="eastAsia"/>
                <w:kern w:val="0"/>
                <w:sz w:val="24"/>
              </w:rPr>
              <w:t>使用寿命；</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5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液压系统原动机为380V三相交流电机， 5.0KW≤功率≤6.0KW；</w:t>
            </w:r>
            <w:r w:rsidRPr="005C2B0D">
              <w:rPr>
                <w:rFonts w:ascii="宋体" w:hAnsi="宋体" w:cs="宋体" w:hint="eastAsia"/>
                <w:kern w:val="0"/>
                <w:sz w:val="24"/>
              </w:rPr>
              <w:t>保证不低于5年使用寿命。</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0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控制系统要求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控制系统应采用微处理器（PLC）控制原理；</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4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控制系统关键元器件：微处理器、显示器、各类继电器、变压器、各类传感器、操作按钮均应为</w:t>
            </w:r>
            <w:r w:rsidRPr="005C2B0D">
              <w:rPr>
                <w:rFonts w:ascii="宋体" w:hAnsi="宋体" w:cs="宋体" w:hint="eastAsia"/>
                <w:kern w:val="0"/>
                <w:sz w:val="24"/>
              </w:rPr>
              <w:t>正规品牌件</w:t>
            </w:r>
            <w:r>
              <w:rPr>
                <w:rFonts w:ascii="宋体" w:hAnsi="宋体" w:cs="宋体" w:hint="eastAsia"/>
                <w:kern w:val="0"/>
                <w:sz w:val="24"/>
              </w:rPr>
              <w:t>；（提供原件品牌、型号或相关采购证明）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4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压缩</w:t>
            </w:r>
            <w:proofErr w:type="gramStart"/>
            <w:r>
              <w:rPr>
                <w:rFonts w:ascii="宋体" w:hAnsi="宋体" w:cs="宋体" w:hint="eastAsia"/>
                <w:kern w:val="0"/>
                <w:sz w:val="24"/>
              </w:rPr>
              <w:t>头运动</w:t>
            </w:r>
            <w:proofErr w:type="gramEnd"/>
            <w:r>
              <w:rPr>
                <w:rFonts w:ascii="宋体" w:hAnsi="宋体" w:cs="宋体" w:hint="eastAsia"/>
                <w:kern w:val="0"/>
                <w:sz w:val="24"/>
              </w:rPr>
              <w:t>控制不可使用点位置传感器，以降低故障率；（提供原理说明及相关照片说明）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8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控制系统应实现装载量分段指示（1/4、1/2、3/4）及满载警示功能；应具有紧急停机功能；应具有压缩头强制回退功能；（提供设备相关功能的照片说明）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36"/>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控制系统应实现设备故障自动报警、诊断功能，报警诊断故障类型应包括：油温高温、相位错误、马达过载、油压过低、机械卡死、紧急停止；（提供设备使用时报警显示的照片）</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8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设备的可显示系统的工作压力，压头前进与后退情况，及设备压缩工作时间计时；（需提供设备使用时的显示照片）</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12"/>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采用拖</w:t>
            </w:r>
            <w:proofErr w:type="gramStart"/>
            <w:r>
              <w:rPr>
                <w:rFonts w:ascii="宋体" w:hAnsi="宋体" w:cs="宋体" w:hint="eastAsia"/>
                <w:kern w:val="0"/>
                <w:sz w:val="24"/>
              </w:rPr>
              <w:t>迤</w:t>
            </w:r>
            <w:proofErr w:type="gramEnd"/>
            <w:r>
              <w:rPr>
                <w:rFonts w:ascii="宋体" w:hAnsi="宋体" w:cs="宋体" w:hint="eastAsia"/>
                <w:kern w:val="0"/>
                <w:sz w:val="24"/>
              </w:rPr>
              <w:t>式操控器进行设备操作；（提供照片）</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368"/>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其它结构要求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垃圾集装箱的拖箱装置应符合拉臂车行业配套标准；</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8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垃圾集装箱</w:t>
            </w:r>
            <w:proofErr w:type="gramStart"/>
            <w:r>
              <w:rPr>
                <w:rFonts w:ascii="宋体" w:hAnsi="宋体" w:cs="宋体" w:hint="eastAsia"/>
                <w:kern w:val="0"/>
                <w:sz w:val="24"/>
              </w:rPr>
              <w:t>的底梁应</w:t>
            </w:r>
            <w:proofErr w:type="gramEnd"/>
            <w:r>
              <w:rPr>
                <w:rFonts w:ascii="宋体" w:hAnsi="宋体" w:cs="宋体" w:hint="eastAsia"/>
                <w:kern w:val="0"/>
                <w:sz w:val="24"/>
              </w:rPr>
              <w:t>符合拉臂车行业装载标准，使用整体高强度钢材制作，闭锁部位做加强处理；（提供箱体实际照片或图纸等进行说明）</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64"/>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防腐</w:t>
            </w:r>
            <w:r>
              <w:rPr>
                <w:rFonts w:ascii="宋体" w:hAnsi="宋体" w:cs="宋体" w:hint="eastAsia"/>
                <w:kern w:val="0"/>
                <w:sz w:val="24"/>
              </w:rPr>
              <w:lastRenderedPageBreak/>
              <w:t>处理工艺要求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sidRPr="005C2B0D">
              <w:rPr>
                <w:rFonts w:ascii="宋体" w:hAnsi="宋体" w:cs="宋体" w:hint="eastAsia"/>
                <w:kern w:val="0"/>
                <w:sz w:val="24"/>
              </w:rPr>
              <w:t>★</w:t>
            </w:r>
            <w:r>
              <w:rPr>
                <w:rFonts w:ascii="宋体" w:hAnsi="宋体" w:cs="宋体" w:hint="eastAsia"/>
                <w:kern w:val="0"/>
                <w:sz w:val="24"/>
              </w:rPr>
              <w:t>设备的所有钢制部件应经过严格的防腐处理，采用</w:t>
            </w:r>
            <w:r>
              <w:rPr>
                <w:rFonts w:ascii="宋体" w:hAnsi="宋体" w:cs="宋体" w:hint="eastAsia"/>
                <w:kern w:val="0"/>
                <w:sz w:val="24"/>
              </w:rPr>
              <w:lastRenderedPageBreak/>
              <w:t>高压喷丸除锈工艺；耐磨防腐底漆、高耐候性面漆喷涂，应确保设备</w:t>
            </w:r>
            <w:r w:rsidRPr="005C2B0D">
              <w:rPr>
                <w:rFonts w:ascii="宋体" w:hAnsi="宋体" w:cs="宋体" w:hint="eastAsia"/>
                <w:kern w:val="0"/>
                <w:sz w:val="24"/>
              </w:rPr>
              <w:t>在10年</w:t>
            </w:r>
            <w:r>
              <w:rPr>
                <w:rFonts w:ascii="宋体" w:hAnsi="宋体" w:cs="宋体" w:hint="eastAsia"/>
                <w:kern w:val="0"/>
                <w:sz w:val="24"/>
              </w:rPr>
              <w:t>使用寿命期内不发生锈蚀；（提供产品生产的相关设备、及整个工艺流程的详细照片说明；提供底漆和面漆的品牌、型号及质量证明文件）</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40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val="restart"/>
            <w:shd w:val="clear" w:color="auto" w:fill="auto"/>
            <w:vAlign w:val="center"/>
          </w:tcPr>
          <w:p w:rsidR="004B7E26" w:rsidRDefault="005C2B0D">
            <w:pPr>
              <w:spacing w:before="75" w:line="360" w:lineRule="auto"/>
              <w:jc w:val="center"/>
              <w:rPr>
                <w:rFonts w:ascii="宋体" w:hAnsi="宋体" w:cs="宋体"/>
                <w:kern w:val="0"/>
                <w:sz w:val="24"/>
              </w:rPr>
            </w:pPr>
            <w:r>
              <w:rPr>
                <w:rFonts w:ascii="宋体" w:hAnsi="宋体" w:cs="宋体" w:hint="eastAsia"/>
                <w:kern w:val="0"/>
                <w:sz w:val="24"/>
              </w:rPr>
              <w:t>远程数字化管理系统要求</w:t>
            </w: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★设备须预留配置智能管理模块连接端口，实现远程数字化管理功能，与环卫数字化平台有效对接，并提供技术方案；</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r w:rsidR="004B7E26">
        <w:trPr>
          <w:trHeight w:val="240"/>
        </w:trPr>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11"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752" w:type="dxa"/>
            <w:vMerge/>
            <w:shd w:val="clear" w:color="auto" w:fill="auto"/>
            <w:vAlign w:val="center"/>
          </w:tcPr>
          <w:p w:rsidR="004B7E26" w:rsidRDefault="004B7E26">
            <w:pPr>
              <w:spacing w:before="75" w:line="360" w:lineRule="auto"/>
              <w:jc w:val="center"/>
              <w:rPr>
                <w:rFonts w:ascii="宋体" w:hAnsi="宋体" w:cs="宋体"/>
                <w:kern w:val="0"/>
                <w:sz w:val="24"/>
              </w:rPr>
            </w:pPr>
          </w:p>
        </w:tc>
        <w:tc>
          <w:tcPr>
            <w:tcW w:w="851" w:type="dxa"/>
            <w:shd w:val="clear" w:color="auto" w:fill="auto"/>
            <w:vAlign w:val="center"/>
          </w:tcPr>
          <w:p w:rsidR="004B7E26" w:rsidRDefault="004B7E26">
            <w:pPr>
              <w:numPr>
                <w:ilvl w:val="0"/>
                <w:numId w:val="2"/>
              </w:numPr>
              <w:spacing w:before="75" w:line="360" w:lineRule="auto"/>
              <w:jc w:val="center"/>
              <w:rPr>
                <w:rFonts w:ascii="宋体" w:hAnsi="宋体" w:cs="宋体"/>
                <w:kern w:val="0"/>
                <w:sz w:val="24"/>
              </w:rPr>
            </w:pPr>
          </w:p>
        </w:tc>
        <w:tc>
          <w:tcPr>
            <w:tcW w:w="5623" w:type="dxa"/>
            <w:shd w:val="clear" w:color="auto" w:fill="auto"/>
          </w:tcPr>
          <w:p w:rsidR="004B7E26" w:rsidRDefault="005C2B0D">
            <w:pPr>
              <w:spacing w:beforeLines="75" w:before="234" w:line="360" w:lineRule="auto"/>
              <w:jc w:val="left"/>
              <w:rPr>
                <w:rFonts w:ascii="宋体" w:hAnsi="宋体" w:cs="宋体"/>
                <w:kern w:val="0"/>
                <w:sz w:val="24"/>
              </w:rPr>
            </w:pPr>
            <w:r>
              <w:rPr>
                <w:rFonts w:ascii="宋体" w:hAnsi="宋体" w:cs="宋体" w:hint="eastAsia"/>
                <w:kern w:val="0"/>
                <w:sz w:val="24"/>
              </w:rPr>
              <w:t>★主要监控内容：（1）压缩设备的实时监控，包括：满箱报警、故障诊断、工作时间等实时监控；（2）实时远程数据上传：上传报警、查看设备概览信息、查看设备实时数据、查看历史数据、查看设备报警历史、历史数据查询。</w:t>
            </w:r>
          </w:p>
        </w:tc>
        <w:tc>
          <w:tcPr>
            <w:tcW w:w="488" w:type="dxa"/>
            <w:vMerge/>
            <w:shd w:val="clear" w:color="auto" w:fill="auto"/>
            <w:vAlign w:val="center"/>
          </w:tcPr>
          <w:p w:rsidR="004B7E26" w:rsidRDefault="004B7E26">
            <w:pPr>
              <w:spacing w:before="75" w:line="360" w:lineRule="auto"/>
              <w:jc w:val="center"/>
              <w:rPr>
                <w:rFonts w:ascii="宋体" w:hAnsi="宋体" w:cs="宋体"/>
                <w:b/>
                <w:kern w:val="0"/>
                <w:sz w:val="24"/>
              </w:rPr>
            </w:pPr>
          </w:p>
        </w:tc>
        <w:tc>
          <w:tcPr>
            <w:tcW w:w="488" w:type="dxa"/>
            <w:vMerge/>
            <w:shd w:val="clear" w:color="auto" w:fill="auto"/>
            <w:vAlign w:val="center"/>
          </w:tcPr>
          <w:p w:rsidR="004B7E26" w:rsidRDefault="004B7E26">
            <w:pPr>
              <w:spacing w:before="75" w:line="360" w:lineRule="auto"/>
              <w:jc w:val="center"/>
              <w:rPr>
                <w:rFonts w:ascii="宋体" w:hAnsi="宋体" w:cs="宋体"/>
                <w:kern w:val="0"/>
                <w:sz w:val="24"/>
              </w:rPr>
            </w:pPr>
          </w:p>
        </w:tc>
      </w:tr>
    </w:tbl>
    <w:p w:rsidR="004B7E26" w:rsidRDefault="004B7E26">
      <w:pPr>
        <w:spacing w:line="360" w:lineRule="auto"/>
        <w:jc w:val="left"/>
        <w:rPr>
          <w:rFonts w:ascii="宋体" w:hAnsi="宋体"/>
          <w:kern w:val="0"/>
          <w:sz w:val="24"/>
        </w:rPr>
      </w:pPr>
    </w:p>
    <w:p w:rsidR="004B7E26" w:rsidRDefault="004B7E26">
      <w:pPr>
        <w:spacing w:line="360" w:lineRule="auto"/>
        <w:jc w:val="left"/>
        <w:rPr>
          <w:rFonts w:ascii="宋体" w:hAnsi="宋体" w:cs="宋体"/>
          <w:b/>
          <w:bCs/>
          <w:kern w:val="0"/>
          <w:sz w:val="24"/>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pPr>
        <w:rPr>
          <w:rFonts w:ascii="宋体" w:hAnsi="宋体"/>
          <w:b/>
          <w:bCs/>
          <w:sz w:val="32"/>
          <w:szCs w:val="32"/>
        </w:rPr>
      </w:pPr>
    </w:p>
    <w:p w:rsidR="004B7E26" w:rsidRDefault="004B7E26"/>
    <w:sectPr w:rsidR="004B7E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630A54"/>
    <w:multiLevelType w:val="multilevel"/>
    <w:tmpl w:val="16630A5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EDE353B"/>
    <w:multiLevelType w:val="multilevel"/>
    <w:tmpl w:val="5EDE353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6F540B"/>
    <w:rsid w:val="004B7E26"/>
    <w:rsid w:val="005C2B0D"/>
    <w:rsid w:val="00C00570"/>
    <w:rsid w:val="0D35769D"/>
    <w:rsid w:val="1E6F54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3AF45BC-DA4F-4C82-B039-9BDBEF098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372</Words>
  <Characters>2126</Characters>
  <Application>Microsoft Office Word</Application>
  <DocSecurity>0</DocSecurity>
  <Lines>17</Lines>
  <Paragraphs>4</Paragraphs>
  <ScaleCrop>false</ScaleCrop>
  <Company/>
  <LinksUpToDate>false</LinksUpToDate>
  <CharactersWithSpaces>2494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lichunbo</cp:lastModifiedBy>
  <cp:revision>3</cp:revision>
  <dcterms:created xsi:type="dcterms:W3CDTF">2020-02-14T04:19:00Z</dcterms:created>
  <dcterms:modified xsi:type="dcterms:W3CDTF">2020-04-10T01:05:00Z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