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4E2BC">
      <w:pPr>
        <w:tabs>
          <w:tab w:val="left" w:pos="7334"/>
          <w:tab w:val="right" w:pos="9185"/>
        </w:tabs>
        <w:spacing w:line="360" w:lineRule="auto"/>
        <w:rPr>
          <w:rFonts w:ascii="宋体" w:hAnsi="宋体"/>
          <w:sz w:val="24"/>
        </w:rPr>
      </w:pPr>
      <w:r>
        <w:rPr>
          <w:rFonts w:hint="eastAsia" w:ascii="宋体" w:hAnsi="宋体"/>
          <w:sz w:val="24"/>
        </w:rPr>
        <w:t>谈判文件编号：c</w:t>
      </w:r>
      <w:r>
        <w:rPr>
          <w:rFonts w:ascii="宋体" w:hAnsi="宋体"/>
          <w:sz w:val="24"/>
        </w:rPr>
        <w:t>cjy</w:t>
      </w:r>
      <w:r>
        <w:rPr>
          <w:rFonts w:hint="eastAsia" w:ascii="宋体" w:hAnsi="宋体"/>
          <w:sz w:val="24"/>
        </w:rPr>
        <w:t>-[202</w:t>
      </w:r>
      <w:r>
        <w:rPr>
          <w:rFonts w:hint="eastAsia" w:ascii="宋体" w:hAnsi="宋体"/>
          <w:sz w:val="24"/>
          <w:lang w:val="en-US" w:eastAsia="zh-CN"/>
        </w:rPr>
        <w:t>6</w:t>
      </w:r>
      <w:r>
        <w:rPr>
          <w:rFonts w:hint="eastAsia" w:ascii="宋体" w:hAnsi="宋体"/>
          <w:sz w:val="24"/>
        </w:rPr>
        <w:t>]-00</w:t>
      </w:r>
      <w:r>
        <w:rPr>
          <w:rFonts w:hint="eastAsia" w:ascii="宋体" w:hAnsi="宋体"/>
          <w:sz w:val="24"/>
          <w:lang w:val="en-US" w:eastAsia="zh-CN"/>
        </w:rPr>
        <w:t>004</w:t>
      </w:r>
      <w:r>
        <w:rPr>
          <w:rFonts w:hint="eastAsia" w:ascii="宋体" w:hAnsi="宋体"/>
          <w:sz w:val="24"/>
        </w:rPr>
        <w:t>号-</w:t>
      </w:r>
      <w:r>
        <w:rPr>
          <w:rFonts w:ascii="宋体" w:hAnsi="宋体"/>
          <w:sz w:val="24"/>
        </w:rPr>
        <w:t>0</w:t>
      </w:r>
      <w:r>
        <w:rPr>
          <w:rFonts w:hint="eastAsia" w:ascii="宋体" w:hAnsi="宋体"/>
          <w:sz w:val="24"/>
        </w:rPr>
        <w:t>1</w:t>
      </w:r>
      <w:r>
        <w:rPr>
          <w:rFonts w:ascii="宋体" w:hAnsi="宋体"/>
          <w:sz w:val="24"/>
        </w:rPr>
        <w:tab/>
      </w:r>
      <w:r>
        <w:rPr>
          <w:rFonts w:ascii="宋体" w:hAnsi="宋体"/>
          <w:sz w:val="24"/>
        </w:rPr>
        <w:tab/>
      </w:r>
    </w:p>
    <w:p w14:paraId="591B1652">
      <w:pPr>
        <w:pStyle w:val="50"/>
        <w:spacing w:line="360" w:lineRule="auto"/>
        <w:ind w:left="1680" w:hanging="1680" w:hangingChars="700"/>
        <w:rPr>
          <w:rFonts w:ascii="宋体" w:hAnsi="宋体" w:eastAsia="宋体"/>
          <w:sz w:val="24"/>
          <w:szCs w:val="24"/>
        </w:rPr>
      </w:pPr>
      <w:r>
        <w:rPr>
          <w:rFonts w:hint="eastAsia" w:ascii="宋体" w:hAnsi="宋体" w:eastAsia="宋体"/>
          <w:sz w:val="24"/>
          <w:szCs w:val="24"/>
        </w:rPr>
        <w:t>采购项目名称：</w:t>
      </w:r>
      <w:bookmarkStart w:id="0" w:name="OLE_LINK3"/>
      <w:r>
        <w:rPr>
          <w:rFonts w:hint="eastAsia" w:ascii="宋体" w:hAnsi="宋体" w:eastAsia="宋体"/>
          <w:sz w:val="24"/>
          <w:szCs w:val="24"/>
        </w:rPr>
        <w:t>长春净月高新技术产业开发区</w:t>
      </w:r>
      <w:r>
        <w:rPr>
          <w:rFonts w:hint="eastAsia" w:ascii="宋体" w:hAnsi="宋体" w:eastAsia="宋体"/>
          <w:sz w:val="24"/>
          <w:szCs w:val="24"/>
          <w:lang w:eastAsia="zh-CN"/>
        </w:rPr>
        <w:t>教育</w:t>
      </w:r>
      <w:r>
        <w:rPr>
          <w:rFonts w:hint="eastAsia" w:ascii="宋体" w:hAnsi="宋体" w:eastAsia="宋体"/>
          <w:sz w:val="24"/>
          <w:szCs w:val="24"/>
        </w:rPr>
        <w:t>局</w:t>
      </w:r>
      <w:r>
        <w:rPr>
          <w:rFonts w:hint="eastAsia" w:ascii="宋体" w:hAnsi="宋体" w:eastAsia="宋体"/>
          <w:sz w:val="24"/>
          <w:szCs w:val="24"/>
          <w:lang w:val="en-US" w:eastAsia="zh-CN"/>
        </w:rPr>
        <w:t>2025年薄弱环节改善</w:t>
      </w:r>
      <w:r>
        <w:rPr>
          <w:rFonts w:hint="eastAsia" w:ascii="宋体" w:hAnsi="宋体" w:eastAsia="宋体"/>
          <w:sz w:val="24"/>
          <w:szCs w:val="24"/>
        </w:rPr>
        <w:t>采购项目</w:t>
      </w:r>
      <w:bookmarkEnd w:id="0"/>
    </w:p>
    <w:p w14:paraId="7F342153">
      <w:pPr>
        <w:pStyle w:val="50"/>
        <w:ind w:firstLine="1680" w:firstLineChars="700"/>
        <w:rPr>
          <w:rFonts w:ascii="宋体" w:hAnsi="宋体" w:eastAsia="宋体"/>
          <w:sz w:val="24"/>
          <w:szCs w:val="24"/>
        </w:rPr>
      </w:pPr>
    </w:p>
    <w:p w14:paraId="0DEF6FAE">
      <w:pPr>
        <w:pStyle w:val="50"/>
        <w:ind w:firstLine="1680" w:firstLineChars="700"/>
        <w:rPr>
          <w:rFonts w:ascii="宋体" w:hAnsi="宋体" w:eastAsia="宋体"/>
          <w:sz w:val="24"/>
          <w:szCs w:val="24"/>
        </w:rPr>
      </w:pPr>
    </w:p>
    <w:p w14:paraId="359C29DF">
      <w:pPr>
        <w:pStyle w:val="50"/>
        <w:ind w:firstLine="1680" w:firstLineChars="700"/>
        <w:rPr>
          <w:rFonts w:ascii="宋体" w:hAnsi="宋体" w:eastAsia="宋体"/>
          <w:sz w:val="24"/>
          <w:szCs w:val="24"/>
        </w:rPr>
      </w:pPr>
    </w:p>
    <w:p w14:paraId="42FF2AAD">
      <w:pPr>
        <w:pStyle w:val="50"/>
        <w:ind w:firstLine="1680" w:firstLineChars="700"/>
        <w:rPr>
          <w:rFonts w:ascii="宋体" w:hAnsi="宋体" w:eastAsia="宋体"/>
          <w:sz w:val="24"/>
          <w:szCs w:val="24"/>
        </w:rPr>
      </w:pPr>
    </w:p>
    <w:p w14:paraId="52150072">
      <w:pPr>
        <w:pStyle w:val="50"/>
        <w:ind w:firstLine="2240" w:firstLineChars="700"/>
        <w:rPr>
          <w:rFonts w:ascii="宋体" w:hAnsi="宋体" w:eastAsia="宋体"/>
          <w:szCs w:val="32"/>
        </w:rPr>
      </w:pPr>
    </w:p>
    <w:p w14:paraId="0ABEE7D7">
      <w:pPr>
        <w:pStyle w:val="50"/>
        <w:rPr>
          <w:b/>
          <w:bCs/>
        </w:rPr>
      </w:pPr>
    </w:p>
    <w:p w14:paraId="58D0CF16">
      <w:pPr>
        <w:pStyle w:val="50"/>
        <w:rPr>
          <w:b/>
          <w:bCs/>
        </w:rPr>
      </w:pPr>
    </w:p>
    <w:p w14:paraId="5DA570BB">
      <w:pPr>
        <w:pStyle w:val="50"/>
        <w:rPr>
          <w:b/>
          <w:bCs/>
        </w:rPr>
      </w:pPr>
    </w:p>
    <w:p w14:paraId="2EE2ABCC">
      <w:pPr>
        <w:pStyle w:val="50"/>
        <w:rPr>
          <w:b/>
          <w:bCs/>
        </w:rPr>
      </w:pPr>
    </w:p>
    <w:p w14:paraId="48E5803C">
      <w:pPr>
        <w:pStyle w:val="50"/>
        <w:jc w:val="center"/>
        <w:rPr>
          <w:rFonts w:ascii="宋体" w:eastAsia="宋体"/>
          <w:sz w:val="144"/>
        </w:rPr>
      </w:pPr>
      <w:r>
        <w:rPr>
          <w:rFonts w:hint="eastAsia" w:ascii="宋体" w:eastAsia="宋体"/>
          <w:sz w:val="144"/>
        </w:rPr>
        <w:t>谈判文件</w:t>
      </w:r>
    </w:p>
    <w:p w14:paraId="27755072">
      <w:pPr>
        <w:pStyle w:val="50"/>
        <w:rPr>
          <w:b/>
          <w:bCs/>
        </w:rPr>
      </w:pPr>
    </w:p>
    <w:p w14:paraId="5A9BE64D">
      <w:pPr>
        <w:pStyle w:val="50"/>
        <w:rPr>
          <w:b/>
          <w:bCs/>
        </w:rPr>
      </w:pPr>
    </w:p>
    <w:p w14:paraId="29DEFD5A">
      <w:pPr>
        <w:pStyle w:val="50"/>
        <w:rPr>
          <w:b/>
          <w:bCs/>
        </w:rPr>
      </w:pPr>
    </w:p>
    <w:p w14:paraId="6AAA3651">
      <w:pPr>
        <w:pStyle w:val="50"/>
        <w:rPr>
          <w:b/>
          <w:bCs/>
        </w:rPr>
      </w:pPr>
    </w:p>
    <w:p w14:paraId="1EF2AC5A">
      <w:pPr>
        <w:pStyle w:val="50"/>
        <w:rPr>
          <w:b/>
          <w:bCs/>
        </w:rPr>
      </w:pPr>
    </w:p>
    <w:p w14:paraId="5ECAB3E3">
      <w:pPr>
        <w:pStyle w:val="50"/>
        <w:rPr>
          <w:b/>
          <w:bCs/>
        </w:rPr>
      </w:pPr>
    </w:p>
    <w:p w14:paraId="2163F856">
      <w:pPr>
        <w:pStyle w:val="50"/>
        <w:rPr>
          <w:b/>
          <w:bCs/>
        </w:rPr>
      </w:pPr>
    </w:p>
    <w:p w14:paraId="133AD229">
      <w:pPr>
        <w:pStyle w:val="50"/>
        <w:rPr>
          <w:b/>
          <w:bCs/>
        </w:rPr>
      </w:pPr>
    </w:p>
    <w:p w14:paraId="529D3D58">
      <w:pPr>
        <w:pStyle w:val="50"/>
        <w:rPr>
          <w:b/>
          <w:bCs/>
        </w:rPr>
      </w:pPr>
    </w:p>
    <w:p w14:paraId="754739A0">
      <w:pPr>
        <w:pStyle w:val="50"/>
        <w:rPr>
          <w:b/>
          <w:bCs/>
        </w:rPr>
      </w:pPr>
    </w:p>
    <w:p w14:paraId="010353F8">
      <w:pPr>
        <w:pStyle w:val="50"/>
      </w:pPr>
    </w:p>
    <w:p w14:paraId="77B90B29">
      <w:pPr>
        <w:pStyle w:val="50"/>
        <w:spacing w:line="360" w:lineRule="auto"/>
        <w:jc w:val="center"/>
        <w:rPr>
          <w:rFonts w:ascii="宋体" w:hAnsi="宋体" w:eastAsia="宋体"/>
          <w:b/>
          <w:bCs/>
        </w:rPr>
      </w:pPr>
      <w:r>
        <w:rPr>
          <w:rFonts w:hint="eastAsia" w:ascii="宋体" w:hAnsi="宋体" w:eastAsia="宋体"/>
          <w:b/>
          <w:bCs/>
        </w:rPr>
        <w:t>长春净月高新技术产业开发区政府采购中心</w:t>
      </w:r>
    </w:p>
    <w:p w14:paraId="10EE1B56">
      <w:pPr>
        <w:pStyle w:val="50"/>
        <w:spacing w:line="360" w:lineRule="auto"/>
        <w:jc w:val="center"/>
        <w:rPr>
          <w:rFonts w:ascii="宋体" w:hAnsi="宋体" w:eastAsia="宋体"/>
          <w:b/>
          <w:bCs/>
        </w:rPr>
      </w:pPr>
      <w:r>
        <w:rPr>
          <w:rFonts w:hint="eastAsia" w:ascii="宋体" w:hAnsi="宋体" w:eastAsia="宋体"/>
          <w:b/>
          <w:bCs/>
        </w:rPr>
        <w:t>2</w:t>
      </w:r>
      <w:r>
        <w:rPr>
          <w:rFonts w:ascii="宋体" w:hAnsi="宋体" w:eastAsia="宋体"/>
          <w:b/>
          <w:bCs/>
        </w:rPr>
        <w:t>026</w:t>
      </w:r>
      <w:r>
        <w:rPr>
          <w:rFonts w:hint="eastAsia" w:ascii="宋体" w:hAnsi="宋体" w:eastAsia="宋体"/>
          <w:b/>
          <w:bCs/>
        </w:rPr>
        <w:t>年</w:t>
      </w:r>
      <w:r>
        <w:rPr>
          <w:rFonts w:ascii="宋体" w:hAnsi="宋体" w:eastAsia="宋体"/>
          <w:b/>
          <w:bCs/>
        </w:rPr>
        <w:t>0</w:t>
      </w:r>
      <w:r>
        <w:rPr>
          <w:rFonts w:hint="eastAsia" w:ascii="宋体" w:hAnsi="宋体" w:eastAsia="宋体"/>
          <w:b/>
          <w:bCs/>
          <w:lang w:val="en-US" w:eastAsia="zh-CN"/>
        </w:rPr>
        <w:t>3</w:t>
      </w:r>
      <w:r>
        <w:rPr>
          <w:rFonts w:hint="eastAsia" w:ascii="宋体" w:hAnsi="宋体" w:eastAsia="宋体"/>
          <w:b/>
          <w:bCs/>
        </w:rPr>
        <w:t>月</w:t>
      </w:r>
    </w:p>
    <w:p w14:paraId="781D8386">
      <w:pPr>
        <w:jc w:val="center"/>
        <w:rPr>
          <w:rFonts w:ascii="宋体" w:hAnsi="宋体"/>
          <w:b/>
          <w:bCs/>
          <w:sz w:val="44"/>
        </w:rPr>
        <w:sectPr>
          <w:headerReference r:id="rId3" w:type="even"/>
          <w:footerReference r:id="rId4" w:type="even"/>
          <w:pgSz w:w="11907" w:h="16840"/>
          <w:pgMar w:top="1134" w:right="1134" w:bottom="1134" w:left="1418" w:header="1021" w:footer="1021" w:gutter="170"/>
          <w:paperSrc w:first="15" w:other="15"/>
          <w:pgNumType w:fmt="numberInDash" w:start="1"/>
          <w:cols w:space="720" w:num="1"/>
          <w:titlePg/>
          <w:docGrid w:linePitch="286" w:charSpace="0"/>
        </w:sectPr>
      </w:pPr>
    </w:p>
    <w:p w14:paraId="1F4BA73D">
      <w:pPr>
        <w:jc w:val="center"/>
        <w:rPr>
          <w:rFonts w:ascii="宋体" w:hAnsi="宋体"/>
          <w:b/>
          <w:bCs/>
          <w:sz w:val="44"/>
        </w:rPr>
      </w:pPr>
      <w:r>
        <w:rPr>
          <w:rFonts w:hint="eastAsia" w:ascii="宋体" w:hAnsi="宋体"/>
          <w:b/>
          <w:bCs/>
          <w:sz w:val="44"/>
        </w:rPr>
        <w:t>目        录</w:t>
      </w:r>
    </w:p>
    <w:p w14:paraId="345B96DE">
      <w:pPr>
        <w:jc w:val="center"/>
        <w:rPr>
          <w:rFonts w:ascii="宋体" w:hAnsi="宋体"/>
          <w:b/>
          <w:bCs/>
          <w:sz w:val="44"/>
        </w:rPr>
      </w:pPr>
    </w:p>
    <w:p w14:paraId="38B795F8">
      <w:pPr>
        <w:rPr>
          <w:rFonts w:ascii="宋体" w:hAnsi="宋体"/>
          <w:sz w:val="24"/>
        </w:rPr>
      </w:pPr>
    </w:p>
    <w:p w14:paraId="76012455">
      <w:pPr>
        <w:pStyle w:val="28"/>
        <w:rPr>
          <w:rFonts w:asciiTheme="minorHAnsi" w:hAnsiTheme="minorHAnsi" w:eastAsiaTheme="minorEastAsia" w:cstheme="minorBidi"/>
          <w:color w:val="auto"/>
          <w:szCs w:val="22"/>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"_Toc103723514" </w:instrText>
      </w:r>
      <w:r>
        <w:fldChar w:fldCharType="separate"/>
      </w:r>
      <w:r>
        <w:rPr>
          <w:rStyle w:val="47"/>
          <w:color w:val="auto"/>
        </w:rPr>
        <w:t>第一章</w:t>
      </w:r>
      <w:r>
        <w:rPr>
          <w:rStyle w:val="47"/>
          <w:rFonts w:hint="eastAsia"/>
          <w:color w:val="auto"/>
        </w:rPr>
        <w:t xml:space="preserve"> </w:t>
      </w:r>
      <w:r>
        <w:rPr>
          <w:rFonts w:hint="eastAsia"/>
          <w:color w:val="auto"/>
        </w:rPr>
        <w:t>竞争性谈判公告</w:t>
      </w:r>
      <w:r>
        <w:rPr>
          <w:color w:val="auto"/>
        </w:rPr>
        <w:tab/>
      </w:r>
      <w:r>
        <w:rPr>
          <w:color w:val="auto"/>
        </w:rPr>
        <w:fldChar w:fldCharType="begin"/>
      </w:r>
      <w:r>
        <w:rPr>
          <w:color w:val="auto"/>
        </w:rPr>
        <w:instrText xml:space="preserve"> PAGEREF _Toc103723514 \h </w:instrText>
      </w:r>
      <w:r>
        <w:rPr>
          <w:color w:val="auto"/>
        </w:rPr>
        <w:fldChar w:fldCharType="separate"/>
      </w:r>
      <w:r>
        <w:rPr>
          <w:color w:val="auto"/>
        </w:rPr>
        <w:t>1</w:t>
      </w:r>
      <w:r>
        <w:rPr>
          <w:color w:val="auto"/>
        </w:rPr>
        <w:fldChar w:fldCharType="end"/>
      </w:r>
      <w:r>
        <w:rPr>
          <w:color w:val="auto"/>
        </w:rPr>
        <w:fldChar w:fldCharType="end"/>
      </w:r>
    </w:p>
    <w:p w14:paraId="24DBB788">
      <w:pPr>
        <w:pStyle w:val="28"/>
        <w:rPr>
          <w:rFonts w:asciiTheme="minorHAnsi" w:hAnsiTheme="minorHAnsi" w:eastAsiaTheme="minorEastAsia" w:cstheme="minorBidi"/>
          <w:color w:val="auto"/>
          <w:szCs w:val="22"/>
        </w:rPr>
      </w:pPr>
      <w:r>
        <w:fldChar w:fldCharType="begin"/>
      </w:r>
      <w:r>
        <w:instrText xml:space="preserve"> HYPERLINK \l "_Toc103723515" </w:instrText>
      </w:r>
      <w:r>
        <w:fldChar w:fldCharType="separate"/>
      </w:r>
      <w:r>
        <w:rPr>
          <w:rStyle w:val="47"/>
          <w:color w:val="auto"/>
        </w:rPr>
        <w:t xml:space="preserve">第二章 </w:t>
      </w:r>
      <w:r>
        <w:rPr>
          <w:rStyle w:val="47"/>
          <w:rFonts w:hint="eastAsia"/>
          <w:color w:val="auto"/>
        </w:rPr>
        <w:t>项目</w:t>
      </w:r>
      <w:r>
        <w:rPr>
          <w:rStyle w:val="47"/>
          <w:color w:val="auto"/>
        </w:rPr>
        <w:t>需求</w:t>
      </w:r>
      <w:r>
        <w:rPr>
          <w:color w:val="auto"/>
        </w:rPr>
        <w:tab/>
      </w:r>
      <w:r>
        <w:rPr>
          <w:rFonts w:hint="eastAsia"/>
          <w:color w:val="auto"/>
        </w:rPr>
        <w:t>5</w:t>
      </w:r>
      <w:r>
        <w:rPr>
          <w:rFonts w:hint="eastAsia"/>
          <w:color w:val="auto"/>
        </w:rPr>
        <w:fldChar w:fldCharType="end"/>
      </w:r>
    </w:p>
    <w:p w14:paraId="1C1CB08E">
      <w:pPr>
        <w:pStyle w:val="28"/>
        <w:rPr>
          <w:rFonts w:asciiTheme="minorHAnsi" w:hAnsiTheme="minorHAnsi" w:cstheme="minorBidi"/>
          <w:color w:val="auto"/>
          <w:szCs w:val="22"/>
        </w:rPr>
      </w:pPr>
      <w:r>
        <w:fldChar w:fldCharType="begin"/>
      </w:r>
      <w:r>
        <w:instrText xml:space="preserve"> HYPERLINK \l "_Toc103723516" </w:instrText>
      </w:r>
      <w:r>
        <w:fldChar w:fldCharType="separate"/>
      </w:r>
      <w:r>
        <w:rPr>
          <w:rStyle w:val="47"/>
          <w:bCs/>
          <w:color w:val="auto"/>
        </w:rPr>
        <w:t xml:space="preserve">第三章 </w:t>
      </w:r>
      <w:r>
        <w:rPr>
          <w:rFonts w:hint="eastAsia"/>
          <w:color w:val="auto"/>
        </w:rPr>
        <w:t>谈判供应商须知</w:t>
      </w:r>
      <w:r>
        <w:rPr>
          <w:color w:val="auto"/>
        </w:rPr>
        <w:tab/>
      </w:r>
      <w:r>
        <w:rPr>
          <w:rFonts w:hint="eastAsia"/>
          <w:color w:val="auto"/>
          <w:lang w:val="en-US" w:eastAsia="zh-CN"/>
        </w:rPr>
        <w:t>51</w:t>
      </w:r>
      <w:r>
        <w:rPr>
          <w:color w:val="auto"/>
        </w:rPr>
        <w:fldChar w:fldCharType="end"/>
      </w:r>
      <w:bookmarkStart w:id="65" w:name="_GoBack"/>
      <w:bookmarkEnd w:id="65"/>
    </w:p>
    <w:p w14:paraId="13ADEA64">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"_Toc103723517" </w:instrText>
      </w:r>
      <w:r>
        <w:fldChar w:fldCharType="separate"/>
      </w:r>
      <w:r>
        <w:rPr>
          <w:rStyle w:val="47"/>
          <w:rFonts w:ascii="仿宋_GB2312"/>
          <w:bCs/>
          <w:color w:val="auto"/>
          <w:sz w:val="28"/>
        </w:rPr>
        <w:t>一、前附表</w:t>
      </w:r>
      <w:r>
        <w:rPr>
          <w:sz w:val="28"/>
        </w:rPr>
        <w:tab/>
      </w:r>
      <w:r>
        <w:rPr>
          <w:sz w:val="28"/>
        </w:rPr>
        <w:fldChar w:fldCharType="end"/>
      </w:r>
      <w:r>
        <w:rPr>
          <w:rFonts w:hint="eastAsia"/>
          <w:sz w:val="28"/>
          <w:lang w:val="en-US" w:eastAsia="zh-CN"/>
        </w:rPr>
        <w:t>52</w:t>
      </w:r>
    </w:p>
    <w:p w14:paraId="1205B7A7">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"_Toc103723518" </w:instrText>
      </w:r>
      <w:r>
        <w:fldChar w:fldCharType="separate"/>
      </w:r>
      <w:r>
        <w:rPr>
          <w:rStyle w:val="47"/>
          <w:rFonts w:ascii="宋体"/>
          <w:bCs/>
          <w:color w:val="auto"/>
          <w:sz w:val="28"/>
        </w:rPr>
        <w:t>二、总则</w:t>
      </w:r>
      <w:r>
        <w:rPr>
          <w:sz w:val="28"/>
        </w:rPr>
        <w:tab/>
      </w:r>
      <w:r>
        <w:rPr>
          <w:sz w:val="28"/>
        </w:rPr>
        <w:fldChar w:fldCharType="end"/>
      </w:r>
      <w:r>
        <w:rPr>
          <w:rFonts w:hint="eastAsia"/>
          <w:sz w:val="28"/>
          <w:lang w:val="en-US" w:eastAsia="zh-CN"/>
        </w:rPr>
        <w:t>55</w:t>
      </w:r>
    </w:p>
    <w:p w14:paraId="0063336D">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"_Toc103723519" </w:instrText>
      </w:r>
      <w:r>
        <w:fldChar w:fldCharType="separate"/>
      </w:r>
      <w:r>
        <w:rPr>
          <w:rStyle w:val="47"/>
          <w:rFonts w:ascii="宋体" w:hAnsi="宋体"/>
          <w:color w:val="auto"/>
          <w:sz w:val="28"/>
        </w:rPr>
        <w:t>三、</w:t>
      </w:r>
      <w:r>
        <w:rPr>
          <w:rStyle w:val="47"/>
          <w:rFonts w:hint="eastAsia" w:ascii="宋体" w:hAnsi="宋体"/>
          <w:color w:val="auto"/>
          <w:sz w:val="28"/>
        </w:rPr>
        <w:t>谈判</w:t>
      </w:r>
      <w:r>
        <w:rPr>
          <w:rStyle w:val="47"/>
          <w:rFonts w:ascii="宋体" w:hAnsi="宋体"/>
          <w:color w:val="auto"/>
          <w:sz w:val="28"/>
        </w:rPr>
        <w:t>文件</w:t>
      </w:r>
      <w:r>
        <w:rPr>
          <w:sz w:val="28"/>
        </w:rPr>
        <w:tab/>
      </w:r>
      <w:r>
        <w:rPr>
          <w:sz w:val="28"/>
        </w:rPr>
        <w:fldChar w:fldCharType="end"/>
      </w:r>
      <w:r>
        <w:rPr>
          <w:rFonts w:hint="eastAsia"/>
          <w:sz w:val="28"/>
          <w:lang w:val="en-US" w:eastAsia="zh-CN"/>
        </w:rPr>
        <w:t>56</w:t>
      </w:r>
    </w:p>
    <w:p w14:paraId="78B88116">
      <w:pPr>
        <w:pStyle w:val="33"/>
        <w:tabs>
          <w:tab w:val="right" w:leader="dot" w:pos="9175"/>
        </w:tabs>
        <w:spacing w:line="360" w:lineRule="auto"/>
        <w:rPr>
          <w:rFonts w:asciiTheme="minorHAnsi" w:hAnsiTheme="minorHAnsi" w:eastAsiaTheme="minorEastAsia" w:cstheme="minorBidi"/>
          <w:sz w:val="28"/>
          <w:szCs w:val="22"/>
        </w:rPr>
      </w:pPr>
      <w:r>
        <w:fldChar w:fldCharType="begin"/>
      </w:r>
      <w:r>
        <w:instrText xml:space="preserve"> HYPERLINK \l "_Toc103723520" </w:instrText>
      </w:r>
      <w:r>
        <w:fldChar w:fldCharType="separate"/>
      </w:r>
      <w:r>
        <w:rPr>
          <w:rStyle w:val="47"/>
          <w:rFonts w:ascii="宋体" w:hAnsi="宋体"/>
          <w:color w:val="auto"/>
          <w:sz w:val="28"/>
        </w:rPr>
        <w:t>四、</w:t>
      </w:r>
      <w:r>
        <w:rPr>
          <w:rStyle w:val="47"/>
          <w:rFonts w:hint="eastAsia" w:ascii="宋体" w:hAnsi="宋体"/>
          <w:color w:val="auto"/>
          <w:sz w:val="28"/>
        </w:rPr>
        <w:t>谈判</w:t>
      </w:r>
      <w:r>
        <w:rPr>
          <w:rStyle w:val="47"/>
          <w:rFonts w:ascii="宋体" w:hAnsi="宋体"/>
          <w:color w:val="auto"/>
          <w:sz w:val="28"/>
        </w:rPr>
        <w:t>响应文件</w:t>
      </w:r>
      <w:r>
        <w:rPr>
          <w:sz w:val="28"/>
        </w:rPr>
        <w:tab/>
      </w:r>
      <w:r>
        <w:rPr>
          <w:sz w:val="28"/>
        </w:rPr>
        <w:fldChar w:fldCharType="begin"/>
      </w:r>
      <w:r>
        <w:rPr>
          <w:sz w:val="28"/>
        </w:rPr>
        <w:instrText xml:space="preserve"> PAGEREF _Toc103723520 \h </w:instrText>
      </w:r>
      <w:r>
        <w:rPr>
          <w:sz w:val="28"/>
        </w:rPr>
        <w:fldChar w:fldCharType="separate"/>
      </w:r>
      <w:r>
        <w:rPr>
          <w:sz w:val="28"/>
        </w:rPr>
        <w:t>57</w:t>
      </w:r>
      <w:r>
        <w:rPr>
          <w:sz w:val="28"/>
        </w:rPr>
        <w:fldChar w:fldCharType="end"/>
      </w:r>
      <w:r>
        <w:rPr>
          <w:sz w:val="28"/>
        </w:rPr>
        <w:fldChar w:fldCharType="end"/>
      </w:r>
    </w:p>
    <w:p w14:paraId="593D1471">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"_Toc103723521" </w:instrText>
      </w:r>
      <w:r>
        <w:fldChar w:fldCharType="separate"/>
      </w:r>
      <w:r>
        <w:rPr>
          <w:rStyle w:val="47"/>
          <w:rFonts w:ascii="宋体" w:hAnsi="宋体"/>
          <w:color w:val="auto"/>
          <w:sz w:val="28"/>
        </w:rPr>
        <w:t>五、</w:t>
      </w:r>
      <w:r>
        <w:rPr>
          <w:rFonts w:hint="eastAsia" w:ascii="宋体" w:hAnsi="宋体"/>
          <w:sz w:val="28"/>
        </w:rPr>
        <w:t>谈判响应</w:t>
      </w:r>
      <w:r>
        <w:rPr>
          <w:sz w:val="28"/>
        </w:rPr>
        <w:tab/>
      </w:r>
      <w:r>
        <w:rPr>
          <w:sz w:val="28"/>
        </w:rPr>
        <w:fldChar w:fldCharType="end"/>
      </w:r>
      <w:r>
        <w:rPr>
          <w:rFonts w:hint="eastAsia"/>
          <w:sz w:val="28"/>
          <w:lang w:val="en-US" w:eastAsia="zh-CN"/>
        </w:rPr>
        <w:t>60</w:t>
      </w:r>
    </w:p>
    <w:p w14:paraId="1746070C">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"_Toc103723522" </w:instrText>
      </w:r>
      <w:r>
        <w:fldChar w:fldCharType="separate"/>
      </w:r>
      <w:r>
        <w:rPr>
          <w:rStyle w:val="47"/>
          <w:rFonts w:ascii="宋体" w:hAnsi="宋体"/>
          <w:bCs/>
          <w:color w:val="auto"/>
          <w:sz w:val="28"/>
        </w:rPr>
        <w:t>六、</w:t>
      </w:r>
      <w:r>
        <w:rPr>
          <w:rStyle w:val="47"/>
          <w:rFonts w:hint="eastAsia" w:ascii="宋体" w:hAnsi="宋体"/>
          <w:bCs/>
          <w:color w:val="auto"/>
          <w:sz w:val="28"/>
        </w:rPr>
        <w:t>谈判</w:t>
      </w:r>
      <w:r>
        <w:rPr>
          <w:sz w:val="28"/>
        </w:rPr>
        <w:tab/>
      </w:r>
      <w:r>
        <w:rPr>
          <w:sz w:val="28"/>
        </w:rPr>
        <w:fldChar w:fldCharType="end"/>
      </w:r>
      <w:r>
        <w:rPr>
          <w:rFonts w:hint="eastAsia"/>
          <w:sz w:val="28"/>
          <w:lang w:val="en-US" w:eastAsia="zh-CN"/>
        </w:rPr>
        <w:t>61</w:t>
      </w:r>
    </w:p>
    <w:p w14:paraId="74892296">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"_Toc103723523" </w:instrText>
      </w:r>
      <w:r>
        <w:fldChar w:fldCharType="separate"/>
      </w:r>
      <w:r>
        <w:rPr>
          <w:rStyle w:val="47"/>
          <w:rFonts w:ascii="宋体" w:hAnsi="宋体"/>
          <w:color w:val="auto"/>
          <w:sz w:val="28"/>
        </w:rPr>
        <w:t>七、评审</w:t>
      </w:r>
      <w:r>
        <w:rPr>
          <w:sz w:val="28"/>
        </w:rPr>
        <w:tab/>
      </w:r>
      <w:r>
        <w:rPr>
          <w:sz w:val="28"/>
        </w:rPr>
        <w:fldChar w:fldCharType="end"/>
      </w:r>
      <w:r>
        <w:rPr>
          <w:rFonts w:hint="eastAsia"/>
          <w:sz w:val="28"/>
          <w:lang w:val="en-US" w:eastAsia="zh-CN"/>
        </w:rPr>
        <w:t>62</w:t>
      </w:r>
    </w:p>
    <w:p w14:paraId="4C00BC6B">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"_Toc103723524" </w:instrText>
      </w:r>
      <w:r>
        <w:fldChar w:fldCharType="separate"/>
      </w:r>
      <w:r>
        <w:rPr>
          <w:rStyle w:val="47"/>
          <w:rFonts w:ascii="宋体" w:hAnsi="宋体"/>
          <w:color w:val="auto"/>
          <w:sz w:val="28"/>
        </w:rPr>
        <w:t>八、授予合同</w:t>
      </w:r>
      <w:r>
        <w:rPr>
          <w:sz w:val="28"/>
        </w:rPr>
        <w:tab/>
      </w:r>
      <w:r>
        <w:rPr>
          <w:sz w:val="28"/>
        </w:rPr>
        <w:fldChar w:fldCharType="end"/>
      </w:r>
      <w:r>
        <w:rPr>
          <w:rFonts w:hint="eastAsia"/>
          <w:sz w:val="28"/>
          <w:lang w:val="en-US" w:eastAsia="zh-CN"/>
        </w:rPr>
        <w:t>64</w:t>
      </w:r>
    </w:p>
    <w:p w14:paraId="53492C50">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"_Toc103723525" </w:instrText>
      </w:r>
      <w:r>
        <w:fldChar w:fldCharType="separate"/>
      </w:r>
      <w:r>
        <w:rPr>
          <w:rStyle w:val="47"/>
          <w:rFonts w:ascii="宋体" w:hAnsi="宋体" w:cs="仿宋_GB2312"/>
          <w:color w:val="auto"/>
          <w:kern w:val="0"/>
          <w:sz w:val="28"/>
          <w:lang w:val="zh-CN"/>
        </w:rPr>
        <w:t>九、</w:t>
      </w:r>
      <w:r>
        <w:rPr>
          <w:rFonts w:hint="eastAsia" w:ascii="宋体" w:hAnsi="宋体"/>
          <w:sz w:val="28"/>
        </w:rPr>
        <w:t>重新采购</w:t>
      </w:r>
      <w:r>
        <w:rPr>
          <w:sz w:val="28"/>
        </w:rPr>
        <w:tab/>
      </w:r>
      <w:r>
        <w:rPr>
          <w:sz w:val="28"/>
        </w:rPr>
        <w:fldChar w:fldCharType="end"/>
      </w:r>
      <w:r>
        <w:rPr>
          <w:rFonts w:hint="eastAsia"/>
          <w:sz w:val="28"/>
          <w:lang w:val="en-US" w:eastAsia="zh-CN"/>
        </w:rPr>
        <w:t>65</w:t>
      </w:r>
    </w:p>
    <w:p w14:paraId="3935D1EE">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"_Toc103723526" </w:instrText>
      </w:r>
      <w:r>
        <w:fldChar w:fldCharType="separate"/>
      </w:r>
      <w:r>
        <w:rPr>
          <w:rStyle w:val="47"/>
          <w:rFonts w:ascii="宋体" w:hAnsi="宋体" w:cs="仿宋_GB2312"/>
          <w:color w:val="auto"/>
          <w:kern w:val="0"/>
          <w:sz w:val="28"/>
          <w:lang w:val="zh-CN"/>
        </w:rPr>
        <w:t>十、纪律和监督</w:t>
      </w:r>
      <w:r>
        <w:rPr>
          <w:sz w:val="28"/>
        </w:rPr>
        <w:tab/>
      </w:r>
      <w:r>
        <w:rPr>
          <w:sz w:val="28"/>
        </w:rPr>
        <w:fldChar w:fldCharType="end"/>
      </w:r>
      <w:r>
        <w:rPr>
          <w:rFonts w:hint="eastAsia"/>
          <w:sz w:val="28"/>
          <w:lang w:val="en-US" w:eastAsia="zh-CN"/>
        </w:rPr>
        <w:t>66</w:t>
      </w:r>
    </w:p>
    <w:p w14:paraId="60C35B45">
      <w:pPr>
        <w:pStyle w:val="28"/>
        <w:rPr>
          <w:rFonts w:hint="eastAsia" w:eastAsia="宋体" w:asciiTheme="minorHAnsi" w:hAnsiTheme="minorHAnsi" w:cstheme="minorBidi"/>
          <w:color w:val="auto"/>
          <w:szCs w:val="22"/>
          <w:lang w:eastAsia="zh-CN"/>
        </w:rPr>
      </w:pPr>
      <w:r>
        <w:fldChar w:fldCharType="begin"/>
      </w:r>
      <w:r>
        <w:instrText xml:space="preserve"> HYPERLINK \l "_Toc103723527" </w:instrText>
      </w:r>
      <w:r>
        <w:fldChar w:fldCharType="separate"/>
      </w:r>
      <w:r>
        <w:rPr>
          <w:rStyle w:val="47"/>
          <w:rFonts w:cs="仿宋_GB2312"/>
          <w:color w:val="auto"/>
          <w:kern w:val="0"/>
          <w:lang w:val="zh-CN"/>
        </w:rPr>
        <w:t>第四章  政府采购合同</w:t>
      </w:r>
      <w:r>
        <w:rPr>
          <w:color w:val="auto"/>
        </w:rPr>
        <w:tab/>
      </w:r>
      <w:r>
        <w:rPr>
          <w:color w:val="auto"/>
        </w:rPr>
        <w:fldChar w:fldCharType="end"/>
      </w:r>
      <w:r>
        <w:rPr>
          <w:rFonts w:hint="eastAsia"/>
          <w:color w:val="auto"/>
          <w:lang w:val="en-US" w:eastAsia="zh-CN"/>
        </w:rPr>
        <w:t>67</w:t>
      </w:r>
    </w:p>
    <w:p w14:paraId="41914EAB">
      <w:pPr>
        <w:pStyle w:val="28"/>
        <w:rPr>
          <w:rFonts w:hint="eastAsia" w:eastAsia="宋体" w:asciiTheme="minorHAnsi" w:hAnsiTheme="minorHAnsi" w:cstheme="minorBidi"/>
          <w:color w:val="auto"/>
          <w:szCs w:val="22"/>
          <w:lang w:eastAsia="zh-CN"/>
        </w:rPr>
      </w:pPr>
      <w:r>
        <w:fldChar w:fldCharType="begin"/>
      </w:r>
      <w:r>
        <w:instrText xml:space="preserve"> HYPERLINK \l "_Toc103723528" </w:instrText>
      </w:r>
      <w:r>
        <w:fldChar w:fldCharType="separate"/>
      </w:r>
      <w:r>
        <w:rPr>
          <w:rStyle w:val="47"/>
          <w:rFonts w:cs="仿宋_GB2312"/>
          <w:color w:val="auto"/>
          <w:kern w:val="0"/>
          <w:lang w:val="zh-CN"/>
        </w:rPr>
        <w:t>第五章  评审办法</w:t>
      </w:r>
      <w:r>
        <w:rPr>
          <w:color w:val="auto"/>
        </w:rPr>
        <w:tab/>
      </w:r>
      <w:r>
        <w:rPr>
          <w:color w:val="auto"/>
        </w:rPr>
        <w:fldChar w:fldCharType="end"/>
      </w:r>
      <w:r>
        <w:rPr>
          <w:rFonts w:hint="eastAsia"/>
          <w:color w:val="auto"/>
          <w:lang w:val="en-US" w:eastAsia="zh-CN"/>
        </w:rPr>
        <w:t>84</w:t>
      </w:r>
    </w:p>
    <w:p w14:paraId="7E83BF79">
      <w:pPr>
        <w:pStyle w:val="28"/>
        <w:rPr>
          <w:rFonts w:hint="eastAsia" w:eastAsia="宋体" w:asciiTheme="minorHAnsi" w:hAnsiTheme="minorHAnsi" w:cstheme="minorBidi"/>
          <w:color w:val="auto"/>
          <w:szCs w:val="22"/>
          <w:lang w:eastAsia="zh-CN"/>
        </w:rPr>
      </w:pPr>
      <w:r>
        <w:fldChar w:fldCharType="begin"/>
      </w:r>
      <w:r>
        <w:instrText xml:space="preserve"> HYPERLINK \l "_Toc103723529" </w:instrText>
      </w:r>
      <w:r>
        <w:fldChar w:fldCharType="separate"/>
      </w:r>
      <w:r>
        <w:rPr>
          <w:rStyle w:val="47"/>
          <w:color w:val="auto"/>
        </w:rPr>
        <w:t xml:space="preserve">第六章  </w:t>
      </w:r>
      <w:r>
        <w:rPr>
          <w:rFonts w:hint="eastAsia"/>
          <w:color w:val="auto"/>
        </w:rPr>
        <w:t>谈判响应文件格式</w:t>
      </w:r>
      <w:r>
        <w:rPr>
          <w:color w:val="auto"/>
        </w:rPr>
        <w:tab/>
      </w:r>
      <w:r>
        <w:rPr>
          <w:color w:val="auto"/>
        </w:rPr>
        <w:fldChar w:fldCharType="end"/>
      </w:r>
      <w:r>
        <w:rPr>
          <w:rFonts w:hint="eastAsia"/>
          <w:color w:val="auto"/>
          <w:lang w:val="en-US" w:eastAsia="zh-CN"/>
        </w:rPr>
        <w:t>87</w:t>
      </w:r>
    </w:p>
    <w:p w14:paraId="1F557E7E">
      <w:pPr>
        <w:pStyle w:val="28"/>
        <w:rPr>
          <w:rFonts w:hint="eastAsia" w:eastAsia="宋体"/>
          <w:color w:val="auto"/>
          <w:lang w:eastAsia="zh-CN"/>
        </w:rPr>
      </w:pPr>
      <w:r>
        <w:fldChar w:fldCharType="begin"/>
      </w:r>
      <w:r>
        <w:instrText xml:space="preserve"> HYPERLINK \l "_Toc103723530" </w:instrText>
      </w:r>
      <w:r>
        <w:fldChar w:fldCharType="separate"/>
      </w:r>
      <w:r>
        <w:rPr>
          <w:rStyle w:val="47"/>
          <w:color w:val="auto"/>
        </w:rPr>
        <w:t>附件一：关于印发中小企业划型标准规定的通知</w:t>
      </w:r>
      <w:r>
        <w:rPr>
          <w:color w:val="auto"/>
        </w:rPr>
        <w:tab/>
      </w:r>
      <w:r>
        <w:rPr>
          <w:color w:val="auto"/>
        </w:rPr>
        <w:fldChar w:fldCharType="end"/>
      </w:r>
      <w:r>
        <w:rPr>
          <w:rFonts w:hint="eastAsia"/>
          <w:color w:val="auto"/>
          <w:lang w:val="en-US" w:eastAsia="zh-CN"/>
        </w:rPr>
        <w:t>105</w:t>
      </w:r>
    </w:p>
    <w:p w14:paraId="2DE2733A">
      <w:pPr>
        <w:pStyle w:val="28"/>
      </w:pPr>
    </w:p>
    <w:p w14:paraId="636B4E89">
      <w:pPr>
        <w:spacing w:line="360" w:lineRule="auto"/>
        <w:rPr>
          <w:rFonts w:ascii="宋体" w:hAnsi="宋体"/>
          <w:sz w:val="28"/>
        </w:rPr>
      </w:pPr>
      <w:r>
        <w:rPr>
          <w:rFonts w:ascii="宋体" w:hAnsi="宋体"/>
          <w:sz w:val="28"/>
        </w:rPr>
        <w:fldChar w:fldCharType="end"/>
      </w:r>
    </w:p>
    <w:p w14:paraId="26B0CF23">
      <w:pPr>
        <w:rPr>
          <w:rFonts w:ascii="仿宋_GB2312" w:eastAsia="仿宋_GB2312"/>
          <w:sz w:val="32"/>
        </w:rPr>
        <w:sectPr>
          <w:footerReference r:id="rId6" w:type="first"/>
          <w:footerReference r:id="rId5" w:type="default"/>
          <w:pgSz w:w="11907" w:h="16840"/>
          <w:pgMar w:top="1134" w:right="1134" w:bottom="1134" w:left="1418" w:header="1021" w:footer="1021" w:gutter="170"/>
          <w:paperSrc w:first="15" w:other="15"/>
          <w:pgNumType w:fmt="numberInDash" w:start="1"/>
          <w:cols w:space="720" w:num="1"/>
          <w:docGrid w:linePitch="286" w:charSpace="0"/>
        </w:sectPr>
      </w:pPr>
    </w:p>
    <w:p w14:paraId="680744BC">
      <w:pPr>
        <w:jc w:val="center"/>
        <w:rPr>
          <w:rFonts w:ascii="宋体" w:hAnsi="宋体"/>
          <w:b/>
          <w:sz w:val="32"/>
          <w:szCs w:val="32"/>
        </w:rPr>
      </w:pPr>
      <w:r>
        <w:rPr>
          <w:rFonts w:hint="eastAsia" w:ascii="宋体" w:hAnsi="宋体"/>
          <w:b/>
          <w:sz w:val="32"/>
          <w:szCs w:val="32"/>
        </w:rPr>
        <w:t xml:space="preserve"> </w:t>
      </w:r>
    </w:p>
    <w:p w14:paraId="79E4C406">
      <w:pPr>
        <w:rPr>
          <w:rFonts w:ascii="宋体" w:hAnsi="宋体"/>
          <w:b/>
          <w:sz w:val="32"/>
          <w:szCs w:val="32"/>
        </w:rPr>
      </w:pPr>
    </w:p>
    <w:p w14:paraId="58411151">
      <w:pPr>
        <w:rPr>
          <w:rFonts w:ascii="宋体" w:hAnsi="宋体"/>
          <w:b/>
          <w:sz w:val="32"/>
          <w:szCs w:val="32"/>
        </w:rPr>
      </w:pPr>
    </w:p>
    <w:p w14:paraId="53422312">
      <w:pPr>
        <w:rPr>
          <w:rFonts w:ascii="宋体" w:hAnsi="宋体"/>
          <w:b/>
          <w:sz w:val="32"/>
          <w:szCs w:val="32"/>
        </w:rPr>
      </w:pPr>
    </w:p>
    <w:p w14:paraId="2B4850CB">
      <w:pPr>
        <w:rPr>
          <w:rFonts w:ascii="宋体" w:hAnsi="宋体"/>
          <w:b/>
          <w:sz w:val="32"/>
          <w:szCs w:val="32"/>
        </w:rPr>
      </w:pPr>
    </w:p>
    <w:p w14:paraId="10503AC4">
      <w:pPr>
        <w:rPr>
          <w:rFonts w:ascii="宋体" w:hAnsi="宋体"/>
          <w:b/>
          <w:sz w:val="32"/>
          <w:szCs w:val="32"/>
        </w:rPr>
      </w:pPr>
    </w:p>
    <w:p w14:paraId="70EB1B76">
      <w:pPr>
        <w:rPr>
          <w:rFonts w:ascii="宋体" w:hAnsi="宋体"/>
          <w:b/>
          <w:sz w:val="32"/>
          <w:szCs w:val="32"/>
        </w:rPr>
      </w:pPr>
    </w:p>
    <w:p w14:paraId="068968CB">
      <w:pPr>
        <w:rPr>
          <w:rFonts w:ascii="宋体" w:hAnsi="宋体"/>
          <w:b/>
          <w:sz w:val="32"/>
          <w:szCs w:val="32"/>
        </w:rPr>
      </w:pPr>
    </w:p>
    <w:p w14:paraId="6085EF03">
      <w:pPr>
        <w:jc w:val="center"/>
        <w:rPr>
          <w:rFonts w:ascii="宋体" w:hAnsi="宋体"/>
          <w:b/>
          <w:sz w:val="36"/>
          <w:szCs w:val="36"/>
        </w:rPr>
      </w:pPr>
    </w:p>
    <w:p w14:paraId="0D2F39EF">
      <w:pPr>
        <w:jc w:val="center"/>
        <w:rPr>
          <w:rFonts w:ascii="宋体" w:hAnsi="宋体"/>
          <w:b/>
          <w:sz w:val="36"/>
          <w:szCs w:val="36"/>
        </w:rPr>
      </w:pPr>
    </w:p>
    <w:p w14:paraId="67CE3241">
      <w:pPr>
        <w:jc w:val="center"/>
        <w:rPr>
          <w:rFonts w:ascii="宋体" w:hAnsi="宋体"/>
          <w:b/>
          <w:sz w:val="36"/>
          <w:szCs w:val="36"/>
        </w:rPr>
      </w:pPr>
    </w:p>
    <w:p w14:paraId="6C6ADCCC">
      <w:pPr>
        <w:jc w:val="center"/>
        <w:rPr>
          <w:rFonts w:ascii="宋体" w:hAnsi="宋体"/>
          <w:b/>
          <w:sz w:val="36"/>
          <w:szCs w:val="36"/>
        </w:rPr>
      </w:pPr>
      <w:bookmarkStart w:id="1" w:name="_Toc103723514"/>
      <w:r>
        <w:rPr>
          <w:rFonts w:hint="eastAsia" w:ascii="宋体" w:hAnsi="宋体"/>
          <w:b/>
          <w:sz w:val="36"/>
          <w:szCs w:val="36"/>
        </w:rPr>
        <w:t xml:space="preserve">第一章 </w:t>
      </w:r>
      <w:r>
        <w:rPr>
          <w:rFonts w:ascii="宋体" w:hAnsi="宋体"/>
          <w:b/>
          <w:sz w:val="36"/>
          <w:szCs w:val="36"/>
        </w:rPr>
        <w:br w:type="textWrapping"/>
      </w:r>
      <w:r>
        <w:rPr>
          <w:rFonts w:ascii="宋体" w:hAnsi="宋体"/>
          <w:b/>
          <w:sz w:val="36"/>
          <w:szCs w:val="36"/>
        </w:rPr>
        <w:br w:type="textWrapping"/>
      </w:r>
      <w:bookmarkEnd w:id="1"/>
      <w:r>
        <w:rPr>
          <w:rFonts w:hint="eastAsia" w:ascii="宋体" w:hAnsi="宋体"/>
          <w:b/>
          <w:sz w:val="36"/>
          <w:szCs w:val="36"/>
        </w:rPr>
        <w:t>竞争性谈判采购公告</w:t>
      </w:r>
    </w:p>
    <w:p w14:paraId="5AA5819B">
      <w:pPr>
        <w:jc w:val="center"/>
        <w:outlineLvl w:val="0"/>
        <w:rPr>
          <w:rFonts w:ascii="宋体" w:hAnsi="宋体"/>
          <w:sz w:val="24"/>
        </w:rPr>
      </w:pPr>
    </w:p>
    <w:p w14:paraId="1A6A0F1F">
      <w:pPr>
        <w:spacing w:line="360" w:lineRule="auto"/>
        <w:rPr>
          <w:rFonts w:ascii="宋体" w:hAnsi="宋体"/>
          <w:sz w:val="24"/>
        </w:rPr>
      </w:pPr>
    </w:p>
    <w:p w14:paraId="71D2DCBE">
      <w:pPr>
        <w:spacing w:line="360" w:lineRule="auto"/>
        <w:rPr>
          <w:rFonts w:ascii="宋体" w:hAnsi="宋体"/>
          <w:sz w:val="24"/>
        </w:rPr>
      </w:pPr>
    </w:p>
    <w:p w14:paraId="416B65FA">
      <w:pPr>
        <w:spacing w:line="360" w:lineRule="auto"/>
        <w:rPr>
          <w:rFonts w:ascii="宋体" w:hAnsi="宋体"/>
          <w:sz w:val="24"/>
        </w:rPr>
      </w:pPr>
    </w:p>
    <w:p w14:paraId="5033F286">
      <w:pPr>
        <w:spacing w:line="360" w:lineRule="auto"/>
        <w:rPr>
          <w:rFonts w:ascii="宋体" w:hAnsi="宋体"/>
          <w:sz w:val="24"/>
        </w:rPr>
      </w:pPr>
    </w:p>
    <w:p w14:paraId="73EBDC30">
      <w:pPr>
        <w:spacing w:line="360" w:lineRule="auto"/>
        <w:rPr>
          <w:rFonts w:ascii="宋体" w:hAnsi="宋体"/>
          <w:sz w:val="24"/>
        </w:rPr>
      </w:pPr>
    </w:p>
    <w:p w14:paraId="3A6B11A7">
      <w:pPr>
        <w:spacing w:line="360" w:lineRule="auto"/>
        <w:rPr>
          <w:rFonts w:ascii="宋体" w:hAnsi="宋体"/>
          <w:sz w:val="24"/>
        </w:rPr>
      </w:pPr>
    </w:p>
    <w:p w14:paraId="38910305">
      <w:pPr>
        <w:spacing w:line="360" w:lineRule="auto"/>
        <w:rPr>
          <w:rFonts w:ascii="宋体" w:hAnsi="宋体"/>
          <w:sz w:val="24"/>
        </w:rPr>
      </w:pPr>
    </w:p>
    <w:p w14:paraId="2E2D9801">
      <w:pPr>
        <w:spacing w:line="360" w:lineRule="auto"/>
        <w:rPr>
          <w:rFonts w:ascii="宋体" w:hAnsi="宋体"/>
          <w:sz w:val="24"/>
        </w:rPr>
      </w:pPr>
    </w:p>
    <w:p w14:paraId="262D3941">
      <w:pPr>
        <w:spacing w:line="360" w:lineRule="auto"/>
        <w:rPr>
          <w:rFonts w:ascii="宋体" w:hAnsi="宋体"/>
          <w:sz w:val="24"/>
        </w:rPr>
      </w:pPr>
    </w:p>
    <w:p w14:paraId="2FFA32C1">
      <w:pPr>
        <w:spacing w:line="360" w:lineRule="auto"/>
        <w:rPr>
          <w:rFonts w:ascii="宋体" w:hAnsi="宋体"/>
          <w:sz w:val="24"/>
        </w:rPr>
      </w:pPr>
    </w:p>
    <w:p w14:paraId="2C79DC2C">
      <w:pPr>
        <w:spacing w:line="360" w:lineRule="auto"/>
        <w:rPr>
          <w:rFonts w:ascii="宋体" w:hAnsi="宋体"/>
          <w:kern w:val="0"/>
          <w:sz w:val="24"/>
        </w:rPr>
      </w:pPr>
    </w:p>
    <w:p w14:paraId="5A005774">
      <w:pPr>
        <w:spacing w:line="360" w:lineRule="auto"/>
        <w:rPr>
          <w:rFonts w:ascii="宋体" w:hAnsi="宋体"/>
          <w:kern w:val="0"/>
          <w:sz w:val="24"/>
        </w:rPr>
      </w:pPr>
    </w:p>
    <w:p w14:paraId="5A27E451">
      <w:pPr>
        <w:spacing w:line="360" w:lineRule="auto"/>
        <w:rPr>
          <w:rFonts w:ascii="宋体" w:hAnsi="宋体"/>
          <w:kern w:val="0"/>
          <w:sz w:val="24"/>
        </w:rPr>
      </w:pPr>
    </w:p>
    <w:p w14:paraId="476ED5D6">
      <w:pPr>
        <w:spacing w:line="360" w:lineRule="auto"/>
        <w:rPr>
          <w:rFonts w:ascii="宋体" w:hAnsi="宋体"/>
          <w:kern w:val="0"/>
          <w:sz w:val="24"/>
        </w:rPr>
      </w:pPr>
    </w:p>
    <w:p w14:paraId="020E477D">
      <w:pPr>
        <w:spacing w:line="360" w:lineRule="auto"/>
        <w:rPr>
          <w:rFonts w:ascii="宋体" w:hAnsi="宋体"/>
          <w:kern w:val="0"/>
          <w:sz w:val="24"/>
        </w:rPr>
      </w:pPr>
    </w:p>
    <w:p w14:paraId="430F8E4D">
      <w:pPr>
        <w:spacing w:line="360" w:lineRule="auto"/>
        <w:rPr>
          <w:rFonts w:ascii="宋体" w:hAnsi="宋体"/>
          <w:b/>
          <w:bCs/>
          <w:kern w:val="0"/>
          <w:sz w:val="32"/>
          <w:szCs w:val="32"/>
        </w:rPr>
      </w:pPr>
    </w:p>
    <w:p w14:paraId="24AA0A8D">
      <w:pPr>
        <w:spacing w:line="360" w:lineRule="auto"/>
        <w:jc w:val="center"/>
        <w:rPr>
          <w:rFonts w:ascii="宋体" w:hAnsi="宋体"/>
          <w:b/>
          <w:bCs/>
          <w:kern w:val="0"/>
          <w:sz w:val="32"/>
          <w:szCs w:val="32"/>
        </w:rPr>
      </w:pPr>
      <w:bookmarkStart w:id="2" w:name="_Hlk218599885"/>
      <w:r>
        <w:rPr>
          <w:rFonts w:hint="eastAsia" w:ascii="宋体" w:hAnsi="宋体"/>
          <w:b/>
          <w:bCs/>
          <w:kern w:val="0"/>
          <w:sz w:val="32"/>
          <w:szCs w:val="32"/>
        </w:rPr>
        <w:t>长春净月高新技术产业开发区教育局2025年薄弱环节改善采购项目</w:t>
      </w:r>
      <w:bookmarkEnd w:id="2"/>
      <w:r>
        <w:rPr>
          <w:rFonts w:hint="eastAsia" w:ascii="宋体" w:hAnsi="宋体"/>
          <w:b/>
          <w:bCs/>
          <w:kern w:val="0"/>
          <w:sz w:val="32"/>
          <w:szCs w:val="32"/>
        </w:rPr>
        <w:t>竞争性谈判公告</w:t>
      </w:r>
    </w:p>
    <w:p w14:paraId="2A637DBE">
      <w:pPr>
        <w:spacing w:line="360" w:lineRule="auto"/>
        <w:jc w:val="left"/>
        <w:rPr>
          <w:rFonts w:ascii="宋体" w:hAnsi="宋体" w:cs="宋体"/>
          <w:sz w:val="24"/>
        </w:rPr>
      </w:pPr>
      <w:bookmarkStart w:id="3" w:name="OLE_LINK1"/>
      <w:bookmarkStart w:id="4" w:name="OLE_LINK2"/>
      <w:r>
        <w:rPr>
          <w:rFonts w:hint="eastAsia" w:ascii="宋体" w:hAnsi="宋体" w:cs="宋体"/>
          <w:sz w:val="24"/>
        </w:rPr>
        <w:t>项目概况</w:t>
      </w:r>
    </w:p>
    <w:p w14:paraId="45DBB68B">
      <w:pPr>
        <w:spacing w:line="360" w:lineRule="auto"/>
        <w:ind w:firstLine="480" w:firstLineChars="200"/>
        <w:jc w:val="left"/>
        <w:rPr>
          <w:rFonts w:ascii="宋体" w:hAnsi="宋体"/>
          <w:kern w:val="0"/>
          <w:sz w:val="24"/>
        </w:rPr>
      </w:pPr>
      <w:r>
        <w:rPr>
          <w:rFonts w:hint="eastAsia" w:ascii="宋体" w:hAnsi="宋体"/>
          <w:sz w:val="24"/>
        </w:rPr>
        <w:t>长春净月高新技术产业开发区教育局2025年薄弱环节改善采购项目</w:t>
      </w:r>
      <w:r>
        <w:rPr>
          <w:rFonts w:hint="eastAsia" w:ascii="宋体" w:hAnsi="宋体" w:cs="宋体"/>
          <w:sz w:val="24"/>
        </w:rPr>
        <w:t>的潜在响应磋商供应商应在政采云平台线上获取采购文件，并于2026年</w:t>
      </w:r>
      <w:r>
        <w:rPr>
          <w:rFonts w:ascii="宋体" w:hAnsi="宋体" w:cs="宋体"/>
          <w:sz w:val="24"/>
        </w:rPr>
        <w:t>0</w:t>
      </w:r>
      <w:r>
        <w:rPr>
          <w:rFonts w:hint="eastAsia" w:ascii="宋体" w:hAnsi="宋体" w:cs="宋体"/>
          <w:sz w:val="24"/>
          <w:lang w:val="en-US" w:eastAsia="zh-CN"/>
        </w:rPr>
        <w:t>3</w:t>
      </w:r>
      <w:r>
        <w:rPr>
          <w:rFonts w:hint="eastAsia" w:ascii="宋体" w:hAnsi="宋体" w:cs="宋体"/>
          <w:sz w:val="24"/>
        </w:rPr>
        <w:t>月</w:t>
      </w:r>
      <w:r>
        <w:rPr>
          <w:rFonts w:hint="eastAsia" w:ascii="宋体" w:hAnsi="宋体" w:cs="宋体"/>
          <w:sz w:val="24"/>
          <w:lang w:val="en-US" w:eastAsia="zh-CN"/>
        </w:rPr>
        <w:t>26</w:t>
      </w:r>
      <w:r>
        <w:rPr>
          <w:rFonts w:hint="eastAsia" w:ascii="宋体" w:hAnsi="宋体" w:cs="宋体"/>
          <w:sz w:val="24"/>
        </w:rPr>
        <w:t>日</w:t>
      </w:r>
      <w:r>
        <w:rPr>
          <w:rFonts w:hint="eastAsia" w:ascii="宋体" w:hAnsi="宋体" w:cs="宋体"/>
          <w:bCs/>
          <w:sz w:val="24"/>
          <w:lang w:val="en-US" w:eastAsia="zh-CN"/>
        </w:rPr>
        <w:t>13</w:t>
      </w:r>
      <w:r>
        <w:rPr>
          <w:rFonts w:hint="eastAsia" w:ascii="宋体" w:hAnsi="宋体" w:cs="宋体"/>
          <w:bCs/>
          <w:sz w:val="24"/>
        </w:rPr>
        <w:t xml:space="preserve"> 点</w:t>
      </w:r>
      <w:r>
        <w:rPr>
          <w:rFonts w:hint="eastAsia" w:ascii="宋体" w:hAnsi="宋体" w:cs="宋体"/>
          <w:bCs/>
          <w:sz w:val="24"/>
          <w:lang w:val="en-US" w:eastAsia="zh-CN"/>
        </w:rPr>
        <w:t>0</w:t>
      </w:r>
      <w:r>
        <w:rPr>
          <w:rFonts w:hint="eastAsia" w:ascii="宋体" w:hAnsi="宋体" w:cs="宋体"/>
          <w:bCs/>
          <w:sz w:val="24"/>
        </w:rPr>
        <w:t>0分（北京时间）前提交响应文件</w:t>
      </w:r>
      <w:r>
        <w:rPr>
          <w:rFonts w:hint="eastAsia" w:ascii="宋体" w:hAnsi="宋体" w:cs="宋体"/>
          <w:sz w:val="24"/>
        </w:rPr>
        <w:t>。</w:t>
      </w:r>
    </w:p>
    <w:p w14:paraId="18F6C824">
      <w:pPr>
        <w:spacing w:line="360" w:lineRule="auto"/>
        <w:rPr>
          <w:rFonts w:ascii="宋体" w:hAnsi="宋体"/>
          <w:sz w:val="24"/>
        </w:rPr>
      </w:pPr>
      <w:r>
        <w:rPr>
          <w:rFonts w:hint="eastAsia" w:ascii="宋体" w:hAnsi="宋体"/>
          <w:sz w:val="24"/>
        </w:rPr>
        <w:t>一、项目基本</w:t>
      </w:r>
      <w:r>
        <w:rPr>
          <w:rFonts w:ascii="宋体" w:hAnsi="宋体"/>
          <w:sz w:val="24"/>
        </w:rPr>
        <w:t>情况</w:t>
      </w:r>
      <w:r>
        <w:rPr>
          <w:rFonts w:hint="eastAsia" w:ascii="宋体" w:hAnsi="宋体"/>
          <w:sz w:val="24"/>
        </w:rPr>
        <w:t>：</w:t>
      </w:r>
    </w:p>
    <w:p w14:paraId="4E68D828">
      <w:pPr>
        <w:spacing w:line="360" w:lineRule="auto"/>
        <w:ind w:firstLine="480" w:firstLineChars="200"/>
        <w:rPr>
          <w:rFonts w:ascii="宋体" w:hAnsi="宋体" w:cs="宋体"/>
          <w:i/>
          <w:iCs/>
          <w:sz w:val="24"/>
        </w:rPr>
      </w:pPr>
      <w:r>
        <w:rPr>
          <w:rFonts w:hint="eastAsia" w:ascii="宋体" w:hAnsi="宋体" w:cs="宋体"/>
          <w:sz w:val="24"/>
        </w:rPr>
        <w:t>项目编号：</w:t>
      </w:r>
      <w:r>
        <w:rPr>
          <w:rFonts w:hint="eastAsia" w:ascii="宋体" w:hAnsi="宋体"/>
          <w:sz w:val="24"/>
        </w:rPr>
        <w:t>c</w:t>
      </w:r>
      <w:r>
        <w:rPr>
          <w:rFonts w:ascii="宋体" w:hAnsi="宋体"/>
          <w:sz w:val="24"/>
        </w:rPr>
        <w:t>cjy</w:t>
      </w:r>
      <w:r>
        <w:rPr>
          <w:rFonts w:hint="eastAsia" w:ascii="宋体" w:hAnsi="宋体"/>
          <w:sz w:val="24"/>
        </w:rPr>
        <w:t>-[202</w:t>
      </w:r>
      <w:r>
        <w:rPr>
          <w:rFonts w:hint="eastAsia" w:ascii="宋体" w:hAnsi="宋体"/>
          <w:sz w:val="24"/>
          <w:lang w:val="en-US" w:eastAsia="zh-CN"/>
        </w:rPr>
        <w:t>6</w:t>
      </w:r>
      <w:r>
        <w:rPr>
          <w:rFonts w:hint="eastAsia" w:ascii="宋体" w:hAnsi="宋体"/>
          <w:sz w:val="24"/>
        </w:rPr>
        <w:t>]-00</w:t>
      </w:r>
      <w:r>
        <w:rPr>
          <w:rFonts w:hint="eastAsia" w:ascii="宋体" w:hAnsi="宋体"/>
          <w:sz w:val="24"/>
          <w:lang w:val="en-US" w:eastAsia="zh-CN"/>
        </w:rPr>
        <w:t>004</w:t>
      </w:r>
      <w:r>
        <w:rPr>
          <w:rFonts w:hint="eastAsia" w:ascii="宋体" w:hAnsi="宋体"/>
          <w:sz w:val="24"/>
        </w:rPr>
        <w:t>号-</w:t>
      </w:r>
      <w:r>
        <w:rPr>
          <w:rFonts w:ascii="宋体" w:hAnsi="宋体"/>
          <w:sz w:val="24"/>
        </w:rPr>
        <w:t>0</w:t>
      </w:r>
      <w:r>
        <w:rPr>
          <w:rFonts w:hint="eastAsia" w:ascii="宋体" w:hAnsi="宋体"/>
          <w:sz w:val="24"/>
        </w:rPr>
        <w:t>1</w:t>
      </w:r>
    </w:p>
    <w:p w14:paraId="27395086">
      <w:pPr>
        <w:spacing w:line="360" w:lineRule="auto"/>
        <w:ind w:firstLine="480" w:firstLineChars="200"/>
        <w:rPr>
          <w:rFonts w:ascii="宋体" w:hAnsi="宋体" w:cs="宋体"/>
          <w:szCs w:val="21"/>
          <w:u w:val="single"/>
        </w:rPr>
      </w:pPr>
      <w:r>
        <w:rPr>
          <w:rFonts w:hint="eastAsia" w:ascii="宋体" w:hAnsi="宋体" w:cs="宋体"/>
          <w:sz w:val="24"/>
        </w:rPr>
        <w:t>项目名称：长春净月高新技术产业开发区教育局2025年薄弱环节改善采购项目</w:t>
      </w:r>
    </w:p>
    <w:p w14:paraId="5CD2DDEC">
      <w:pPr>
        <w:spacing w:line="360" w:lineRule="auto"/>
        <w:ind w:firstLine="480" w:firstLineChars="200"/>
        <w:rPr>
          <w:rFonts w:ascii="宋体" w:hAnsi="宋体" w:cs="宋体"/>
          <w:sz w:val="24"/>
        </w:rPr>
      </w:pPr>
      <w:r>
        <w:rPr>
          <w:rFonts w:hint="eastAsia" w:ascii="宋体" w:hAnsi="宋体" w:cs="宋体"/>
          <w:sz w:val="24"/>
        </w:rPr>
        <w:t>采购方式：竞争性谈判</w:t>
      </w:r>
    </w:p>
    <w:p w14:paraId="20989E3F">
      <w:pPr>
        <w:spacing w:line="360" w:lineRule="auto"/>
        <w:ind w:firstLine="480" w:firstLineChars="200"/>
        <w:jc w:val="left"/>
        <w:rPr>
          <w:rFonts w:ascii="宋体" w:hAnsi="宋体"/>
          <w:sz w:val="24"/>
          <w:szCs w:val="20"/>
        </w:rPr>
      </w:pPr>
      <w:r>
        <w:rPr>
          <w:rFonts w:hint="eastAsia" w:ascii="宋体" w:hAnsi="宋体" w:cs="宋体"/>
          <w:sz w:val="24"/>
        </w:rPr>
        <w:t>预算金额</w:t>
      </w:r>
      <w:r>
        <w:rPr>
          <w:rFonts w:hint="eastAsia" w:ascii="宋体" w:hAnsi="宋体"/>
          <w:kern w:val="0"/>
          <w:sz w:val="24"/>
        </w:rPr>
        <w:t>（元）</w:t>
      </w:r>
      <w:r>
        <w:rPr>
          <w:rFonts w:hint="eastAsia" w:ascii="宋体" w:hAnsi="宋体" w:cs="宋体"/>
          <w:sz w:val="24"/>
        </w:rPr>
        <w:t>：</w:t>
      </w:r>
      <w:r>
        <w:rPr>
          <w:rFonts w:hint="eastAsia" w:ascii="宋体" w:hAnsi="宋体"/>
          <w:sz w:val="24"/>
          <w:szCs w:val="20"/>
          <w:lang w:val="en-US" w:eastAsia="zh-CN"/>
        </w:rPr>
        <w:t>1256750</w:t>
      </w:r>
      <w:r>
        <w:rPr>
          <w:rFonts w:ascii="宋体" w:hAnsi="宋体"/>
          <w:sz w:val="24"/>
          <w:szCs w:val="20"/>
        </w:rPr>
        <w:t>.00</w:t>
      </w:r>
    </w:p>
    <w:p w14:paraId="19FBA5DD">
      <w:pPr>
        <w:spacing w:line="360" w:lineRule="auto"/>
        <w:ind w:firstLine="480" w:firstLineChars="200"/>
        <w:jc w:val="left"/>
        <w:rPr>
          <w:rFonts w:ascii="宋体" w:hAnsi="宋体"/>
          <w:sz w:val="24"/>
          <w:szCs w:val="20"/>
        </w:rPr>
      </w:pPr>
      <w:r>
        <w:rPr>
          <w:rFonts w:hint="eastAsia" w:ascii="宋体" w:hAnsi="宋体"/>
          <w:kern w:val="0"/>
          <w:sz w:val="24"/>
        </w:rPr>
        <w:t>最高限价（元）</w:t>
      </w:r>
      <w:r>
        <w:rPr>
          <w:rFonts w:hint="eastAsia" w:ascii="宋体" w:hAnsi="宋体" w:cs="宋体"/>
          <w:sz w:val="24"/>
        </w:rPr>
        <w:t>：</w:t>
      </w:r>
      <w:r>
        <w:rPr>
          <w:rFonts w:hint="eastAsia" w:ascii="宋体" w:hAnsi="宋体"/>
          <w:sz w:val="24"/>
          <w:szCs w:val="20"/>
          <w:lang w:val="en-US" w:eastAsia="zh-CN"/>
        </w:rPr>
        <w:t>1256750</w:t>
      </w:r>
      <w:r>
        <w:rPr>
          <w:rFonts w:ascii="宋体" w:hAnsi="宋体"/>
          <w:sz w:val="24"/>
          <w:szCs w:val="20"/>
        </w:rPr>
        <w:t>.00</w:t>
      </w:r>
    </w:p>
    <w:p w14:paraId="6616D3FE">
      <w:pPr>
        <w:spacing w:line="360" w:lineRule="auto"/>
        <w:ind w:firstLine="480" w:firstLineChars="200"/>
        <w:jc w:val="left"/>
        <w:rPr>
          <w:rFonts w:ascii="宋体" w:hAnsi="宋体"/>
          <w:iCs/>
          <w:sz w:val="24"/>
        </w:rPr>
      </w:pPr>
      <w:r>
        <w:rPr>
          <w:rFonts w:hint="eastAsia" w:ascii="宋体" w:hAnsi="宋体" w:cs="宋体"/>
          <w:sz w:val="24"/>
        </w:rPr>
        <w:t>采购需求：</w:t>
      </w:r>
      <w:r>
        <w:rPr>
          <w:rFonts w:ascii="宋体" w:hAnsi="宋体"/>
          <w:iCs/>
          <w:sz w:val="24"/>
        </w:rPr>
        <w:t xml:space="preserve"> </w:t>
      </w:r>
    </w:p>
    <w:p w14:paraId="14CFA6C5">
      <w:pPr>
        <w:spacing w:line="360" w:lineRule="auto"/>
        <w:ind w:firstLine="480" w:firstLineChars="200"/>
        <w:jc w:val="left"/>
        <w:rPr>
          <w:rFonts w:ascii="宋体" w:hAnsi="宋体" w:cs="宋体"/>
          <w:sz w:val="24"/>
        </w:rPr>
      </w:pPr>
      <w:r>
        <w:rPr>
          <w:rFonts w:hint="eastAsia" w:ascii="宋体" w:hAnsi="宋体" w:cs="宋体"/>
          <w:sz w:val="24"/>
        </w:rPr>
        <w:t>标项名称：长春净月高新技术产业开发区教育局2025年薄弱环节改善采购项目</w:t>
      </w:r>
    </w:p>
    <w:p w14:paraId="7D3D91D4">
      <w:pPr>
        <w:spacing w:line="360" w:lineRule="auto"/>
        <w:ind w:firstLine="480" w:firstLineChars="200"/>
        <w:jc w:val="left"/>
        <w:rPr>
          <w:rFonts w:ascii="宋体" w:hAnsi="宋体" w:cs="宋体"/>
          <w:sz w:val="24"/>
        </w:rPr>
      </w:pPr>
      <w:r>
        <w:rPr>
          <w:rFonts w:hint="eastAsia" w:ascii="宋体" w:hAnsi="宋体" w:cs="宋体"/>
          <w:sz w:val="24"/>
        </w:rPr>
        <w:t>数量：</w:t>
      </w:r>
    </w:p>
    <w:p w14:paraId="3E10700C">
      <w:pPr>
        <w:spacing w:line="360" w:lineRule="auto"/>
        <w:ind w:firstLine="480" w:firstLineChars="200"/>
        <w:jc w:val="left"/>
        <w:rPr>
          <w:rFonts w:ascii="宋体" w:hAnsi="宋体" w:cs="宋体"/>
          <w:sz w:val="24"/>
        </w:rPr>
      </w:pPr>
      <w:r>
        <w:rPr>
          <w:rFonts w:hint="eastAsia" w:ascii="宋体" w:hAnsi="宋体" w:cs="宋体"/>
          <w:sz w:val="24"/>
        </w:rPr>
        <w:t>预算金额（元）：</w:t>
      </w:r>
      <w:r>
        <w:rPr>
          <w:rFonts w:hint="eastAsia" w:ascii="宋体" w:hAnsi="宋体"/>
          <w:sz w:val="24"/>
          <w:szCs w:val="20"/>
          <w:lang w:val="en-US" w:eastAsia="zh-CN"/>
        </w:rPr>
        <w:t>1256750</w:t>
      </w:r>
      <w:r>
        <w:rPr>
          <w:rFonts w:ascii="宋体" w:hAnsi="宋体"/>
          <w:sz w:val="24"/>
          <w:szCs w:val="20"/>
        </w:rPr>
        <w:t>.00</w:t>
      </w:r>
    </w:p>
    <w:p w14:paraId="17A743EB">
      <w:pPr>
        <w:spacing w:line="360" w:lineRule="auto"/>
        <w:ind w:firstLine="480" w:firstLineChars="200"/>
        <w:jc w:val="left"/>
        <w:rPr>
          <w:rFonts w:ascii="宋体" w:hAnsi="宋体" w:cs="宋体"/>
          <w:sz w:val="24"/>
        </w:rPr>
      </w:pPr>
      <w:r>
        <w:rPr>
          <w:rFonts w:hint="eastAsia" w:ascii="宋体" w:hAnsi="宋体" w:cs="宋体"/>
          <w:sz w:val="24"/>
        </w:rPr>
        <w:t>单位：</w:t>
      </w:r>
    </w:p>
    <w:p w14:paraId="06E553C2">
      <w:pPr>
        <w:spacing w:line="360" w:lineRule="auto"/>
        <w:ind w:firstLine="480" w:firstLineChars="200"/>
        <w:jc w:val="left"/>
        <w:rPr>
          <w:rFonts w:ascii="宋体" w:hAnsi="宋体" w:cs="宋体"/>
          <w:sz w:val="24"/>
        </w:rPr>
      </w:pPr>
      <w:r>
        <w:rPr>
          <w:rFonts w:hint="eastAsia" w:ascii="宋体" w:hAnsi="宋体" w:cs="宋体"/>
          <w:sz w:val="24"/>
        </w:rPr>
        <w:t>简要规格描述：</w:t>
      </w:r>
      <w:bookmarkStart w:id="5" w:name="OLE_LINK4"/>
      <w:r>
        <w:rPr>
          <w:rFonts w:hint="eastAsia" w:ascii="宋体" w:hAnsi="宋体" w:cs="宋体"/>
          <w:sz w:val="24"/>
        </w:rPr>
        <w:t>具体</w:t>
      </w:r>
      <w:r>
        <w:rPr>
          <w:rFonts w:hint="eastAsia" w:ascii="宋体" w:hAnsi="宋体"/>
          <w:iCs/>
          <w:sz w:val="24"/>
        </w:rPr>
        <w:t>要求详见第二章项目要求。</w:t>
      </w:r>
      <w:bookmarkEnd w:id="5"/>
    </w:p>
    <w:p w14:paraId="26CAF499">
      <w:pPr>
        <w:spacing w:line="360" w:lineRule="auto"/>
        <w:ind w:firstLine="480" w:firstLineChars="200"/>
        <w:jc w:val="left"/>
        <w:rPr>
          <w:rFonts w:ascii="宋体" w:hAnsi="宋体" w:cs="宋体"/>
          <w:sz w:val="24"/>
        </w:rPr>
      </w:pPr>
      <w:r>
        <w:rPr>
          <w:rFonts w:hint="eastAsia" w:ascii="宋体" w:hAnsi="宋体" w:cs="宋体"/>
          <w:sz w:val="24"/>
        </w:rPr>
        <w:t xml:space="preserve">备注：  </w:t>
      </w:r>
    </w:p>
    <w:p w14:paraId="5316511F">
      <w:pPr>
        <w:spacing w:line="360" w:lineRule="auto"/>
        <w:ind w:firstLine="480" w:firstLineChars="200"/>
        <w:jc w:val="left"/>
        <w:rPr>
          <w:rFonts w:ascii="宋体" w:hAnsi="宋体" w:cs="宋体"/>
          <w:sz w:val="24"/>
        </w:rPr>
      </w:pPr>
      <w:r>
        <w:rPr>
          <w:rFonts w:hint="eastAsia" w:ascii="宋体" w:hAnsi="宋体" w:cs="宋体"/>
          <w:sz w:val="24"/>
        </w:rPr>
        <w:t>合同履约期限：标项 1</w:t>
      </w:r>
      <w:r>
        <w:rPr>
          <w:rFonts w:ascii="宋体" w:hAnsi="宋体" w:cs="宋体"/>
          <w:sz w:val="24"/>
        </w:rPr>
        <w:t>,</w:t>
      </w:r>
      <w:r>
        <w:rPr>
          <w:rFonts w:hint="eastAsia"/>
        </w:rPr>
        <w:t xml:space="preserve"> </w:t>
      </w:r>
      <w:r>
        <w:rPr>
          <w:rFonts w:hint="eastAsia" w:ascii="宋体" w:hAnsi="宋体" w:cs="宋体"/>
          <w:sz w:val="24"/>
        </w:rPr>
        <w:t>自合同执行之日起30个日历天内。</w:t>
      </w:r>
    </w:p>
    <w:p w14:paraId="1A32ED4D">
      <w:pPr>
        <w:spacing w:line="360" w:lineRule="auto"/>
        <w:ind w:firstLine="480" w:firstLineChars="200"/>
        <w:jc w:val="left"/>
        <w:rPr>
          <w:rFonts w:ascii="宋体" w:hAnsi="宋体" w:cs="宋体"/>
          <w:sz w:val="24"/>
        </w:rPr>
      </w:pPr>
      <w:r>
        <w:rPr>
          <w:rFonts w:hint="eastAsia" w:ascii="宋体" w:hAnsi="宋体" w:cs="宋体"/>
          <w:sz w:val="24"/>
        </w:rPr>
        <w:t xml:space="preserve">本项目（否）接受联合体投标。     </w:t>
      </w:r>
    </w:p>
    <w:p w14:paraId="2EC6710D">
      <w:pPr>
        <w:spacing w:line="360" w:lineRule="auto"/>
        <w:rPr>
          <w:rFonts w:ascii="宋体" w:hAnsi="宋体" w:cs="宋体"/>
          <w:sz w:val="24"/>
        </w:rPr>
      </w:pPr>
      <w:r>
        <w:rPr>
          <w:rFonts w:hint="eastAsia" w:ascii="宋体" w:hAnsi="宋体" w:cs="宋体"/>
          <w:sz w:val="24"/>
        </w:rPr>
        <w:t>二、申请人的资格要求：</w:t>
      </w:r>
    </w:p>
    <w:p w14:paraId="0DEBBD8B">
      <w:pPr>
        <w:spacing w:line="360" w:lineRule="auto"/>
        <w:ind w:firstLine="480" w:firstLineChars="200"/>
        <w:rPr>
          <w:rFonts w:ascii="宋体" w:hAnsi="宋体" w:cs="宋体"/>
          <w:sz w:val="24"/>
        </w:rPr>
      </w:pPr>
      <w:r>
        <w:rPr>
          <w:rFonts w:hint="eastAsia" w:ascii="宋体" w:hAnsi="宋体" w:cs="宋体"/>
          <w:sz w:val="24"/>
        </w:rPr>
        <w:t>1.满足《中华人民共和国政府采购法》第二十二条规定；</w:t>
      </w:r>
    </w:p>
    <w:p w14:paraId="27D32B5B">
      <w:pPr>
        <w:spacing w:line="360" w:lineRule="auto"/>
        <w:ind w:firstLine="480" w:firstLineChars="200"/>
        <w:rPr>
          <w:rFonts w:ascii="宋体" w:hAnsi="宋体"/>
          <w:kern w:val="0"/>
          <w:sz w:val="24"/>
        </w:rPr>
      </w:pPr>
      <w:r>
        <w:rPr>
          <w:rFonts w:hint="eastAsia" w:ascii="宋体" w:hAnsi="宋体"/>
          <w:kern w:val="0"/>
          <w:sz w:val="24"/>
        </w:rPr>
        <w:t>2. 落实政府采购政策需满足的资格要求：本项目</w:t>
      </w:r>
      <w:r>
        <w:rPr>
          <w:rFonts w:hint="eastAsia" w:ascii="宋体" w:hAnsi="宋体"/>
          <w:kern w:val="0"/>
          <w:sz w:val="24"/>
          <w:lang w:eastAsia="zh-CN"/>
        </w:rPr>
        <w:t>不专门</w:t>
      </w:r>
      <w:r>
        <w:rPr>
          <w:rFonts w:hint="eastAsia" w:ascii="宋体" w:hAnsi="宋体"/>
          <w:kern w:val="0"/>
          <w:sz w:val="24"/>
        </w:rPr>
        <w:t>面向中小</w:t>
      </w:r>
      <w:r>
        <w:rPr>
          <w:rFonts w:ascii="宋体" w:hAnsi="宋体"/>
          <w:kern w:val="0"/>
          <w:sz w:val="24"/>
        </w:rPr>
        <w:t>企业采购</w:t>
      </w:r>
      <w:r>
        <w:rPr>
          <w:rFonts w:hint="eastAsia" w:ascii="宋体" w:hAnsi="宋体"/>
          <w:kern w:val="0"/>
          <w:sz w:val="24"/>
        </w:rPr>
        <w:t>；</w:t>
      </w:r>
    </w:p>
    <w:p w14:paraId="6B32FBD3">
      <w:pPr>
        <w:spacing w:line="360" w:lineRule="auto"/>
        <w:ind w:firstLine="480" w:firstLineChars="200"/>
        <w:rPr>
          <w:rFonts w:ascii="宋体" w:hAnsi="宋体"/>
          <w:color w:val="FF0000"/>
          <w:kern w:val="0"/>
          <w:sz w:val="24"/>
        </w:rPr>
      </w:pPr>
      <w:r>
        <w:rPr>
          <w:rFonts w:hint="eastAsia" w:ascii="宋体" w:hAnsi="宋体"/>
          <w:kern w:val="0"/>
          <w:sz w:val="24"/>
        </w:rPr>
        <w:t>3.本项目的特定资格要求：</w:t>
      </w:r>
      <w:r>
        <w:rPr>
          <w:rFonts w:hint="eastAsia" w:ascii="宋体" w:hAnsi="宋体"/>
          <w:color w:val="000000" w:themeColor="text1"/>
          <w:kern w:val="0"/>
          <w:sz w:val="24"/>
          <w14:textFill>
            <w14:solidFill>
              <w14:schemeClr w14:val="tx1"/>
            </w14:solidFill>
          </w14:textFill>
        </w:rPr>
        <w:t>标项1：无。</w:t>
      </w:r>
    </w:p>
    <w:p w14:paraId="1DF3CF95">
      <w:pPr>
        <w:spacing w:line="360" w:lineRule="auto"/>
        <w:rPr>
          <w:rFonts w:ascii="宋体" w:hAnsi="宋体"/>
          <w:kern w:val="0"/>
          <w:sz w:val="24"/>
        </w:rPr>
      </w:pPr>
      <w:r>
        <w:rPr>
          <w:rFonts w:hint="eastAsia" w:ascii="宋体" w:hAnsi="宋体"/>
          <w:kern w:val="0"/>
          <w:sz w:val="24"/>
        </w:rPr>
        <w:t>三、获取采购文件：</w:t>
      </w:r>
    </w:p>
    <w:p w14:paraId="2D6F3968">
      <w:pPr>
        <w:spacing w:line="360" w:lineRule="auto"/>
        <w:ind w:firstLine="480" w:firstLineChars="200"/>
        <w:rPr>
          <w:rFonts w:ascii="宋体" w:hAnsi="宋体" w:cs="宋体"/>
          <w:sz w:val="24"/>
        </w:rPr>
      </w:pPr>
      <w:r>
        <w:rPr>
          <w:rFonts w:hint="eastAsia" w:ascii="宋体" w:hAnsi="宋体" w:cs="宋体"/>
          <w:sz w:val="24"/>
        </w:rPr>
        <w:t>时间：2026年</w:t>
      </w:r>
      <w:r>
        <w:rPr>
          <w:rFonts w:ascii="宋体" w:hAnsi="宋体" w:cs="宋体"/>
          <w:sz w:val="24"/>
        </w:rPr>
        <w:t>0</w:t>
      </w:r>
      <w:r>
        <w:rPr>
          <w:rFonts w:hint="eastAsia" w:ascii="宋体" w:hAnsi="宋体" w:cs="宋体"/>
          <w:sz w:val="24"/>
          <w:lang w:val="en-US" w:eastAsia="zh-CN"/>
        </w:rPr>
        <w:t>3</w:t>
      </w:r>
      <w:r>
        <w:rPr>
          <w:rFonts w:hint="eastAsia" w:ascii="宋体" w:hAnsi="宋体" w:cs="宋体"/>
          <w:sz w:val="24"/>
        </w:rPr>
        <w:t>月</w:t>
      </w:r>
      <w:r>
        <w:rPr>
          <w:rFonts w:ascii="宋体" w:hAnsi="宋体" w:cs="宋体"/>
          <w:sz w:val="24"/>
        </w:rPr>
        <w:t>1</w:t>
      </w:r>
      <w:r>
        <w:rPr>
          <w:rFonts w:hint="eastAsia" w:ascii="宋体" w:hAnsi="宋体" w:cs="宋体"/>
          <w:sz w:val="24"/>
          <w:lang w:val="en-US" w:eastAsia="zh-CN"/>
        </w:rPr>
        <w:t>2</w:t>
      </w:r>
      <w:r>
        <w:rPr>
          <w:rFonts w:hint="eastAsia" w:ascii="宋体" w:hAnsi="宋体" w:cs="宋体"/>
          <w:sz w:val="24"/>
        </w:rPr>
        <w:t>日至2026年</w:t>
      </w:r>
      <w:r>
        <w:rPr>
          <w:rFonts w:ascii="宋体" w:hAnsi="宋体" w:cs="宋体"/>
          <w:sz w:val="24"/>
        </w:rPr>
        <w:t>0</w:t>
      </w:r>
      <w:r>
        <w:rPr>
          <w:rFonts w:hint="eastAsia" w:ascii="宋体" w:hAnsi="宋体" w:cs="宋体"/>
          <w:sz w:val="24"/>
          <w:lang w:val="en-US" w:eastAsia="zh-CN"/>
        </w:rPr>
        <w:t>3</w:t>
      </w:r>
      <w:r>
        <w:rPr>
          <w:rFonts w:hint="eastAsia" w:ascii="宋体" w:hAnsi="宋体" w:cs="宋体"/>
          <w:sz w:val="24"/>
        </w:rPr>
        <w:t>月</w:t>
      </w:r>
      <w:r>
        <w:rPr>
          <w:rFonts w:hint="eastAsia" w:ascii="宋体" w:hAnsi="宋体" w:cs="宋体"/>
          <w:sz w:val="24"/>
          <w:lang w:val="en-US" w:eastAsia="zh-CN"/>
        </w:rPr>
        <w:t>19</w:t>
      </w:r>
      <w:r>
        <w:rPr>
          <w:rFonts w:hint="eastAsia" w:ascii="宋体" w:hAnsi="宋体" w:cs="宋体"/>
          <w:sz w:val="24"/>
        </w:rPr>
        <w:t>日，</w:t>
      </w:r>
      <w:r>
        <w:rPr>
          <w:rFonts w:hint="eastAsia" w:ascii="宋体" w:hAnsi="宋体" w:cs="宋体"/>
          <w:color w:val="000000"/>
          <w:sz w:val="24"/>
        </w:rPr>
        <w:t>每天上午0</w:t>
      </w:r>
      <w:r>
        <w:rPr>
          <w:rFonts w:ascii="宋体" w:hAnsi="宋体" w:cs="宋体"/>
          <w:color w:val="000000"/>
          <w:sz w:val="24"/>
        </w:rPr>
        <w:t>9</w:t>
      </w:r>
      <w:r>
        <w:rPr>
          <w:rFonts w:hint="eastAsia" w:ascii="宋体" w:hAnsi="宋体" w:cs="宋体"/>
          <w:color w:val="000000"/>
          <w:sz w:val="24"/>
        </w:rPr>
        <w:t>:</w:t>
      </w:r>
      <w:r>
        <w:t xml:space="preserve"> </w:t>
      </w:r>
      <w:r>
        <w:rPr>
          <w:rFonts w:ascii="宋体" w:hAnsi="宋体" w:cs="宋体"/>
          <w:color w:val="000000"/>
          <w:sz w:val="24"/>
        </w:rPr>
        <w:t>00:00</w:t>
      </w:r>
      <w:r>
        <w:rPr>
          <w:rFonts w:hint="eastAsia" w:ascii="宋体" w:hAnsi="宋体" w:cs="宋体"/>
          <w:color w:val="000000"/>
          <w:sz w:val="24"/>
        </w:rPr>
        <w:t>至12:</w:t>
      </w:r>
      <w:r>
        <w:t xml:space="preserve"> </w:t>
      </w:r>
      <w:r>
        <w:rPr>
          <w:rFonts w:ascii="宋体" w:hAnsi="宋体" w:cs="宋体"/>
          <w:color w:val="000000"/>
          <w:sz w:val="24"/>
        </w:rPr>
        <w:t>00:00</w:t>
      </w:r>
      <w:r>
        <w:rPr>
          <w:rFonts w:hint="eastAsia" w:ascii="宋体" w:hAnsi="宋体" w:cs="宋体"/>
          <w:color w:val="000000"/>
          <w:sz w:val="24"/>
        </w:rPr>
        <w:t>，下午12:</w:t>
      </w:r>
      <w:r>
        <w:t xml:space="preserve"> </w:t>
      </w:r>
      <w:r>
        <w:rPr>
          <w:rFonts w:ascii="宋体" w:hAnsi="宋体" w:cs="宋体"/>
          <w:color w:val="000000"/>
          <w:sz w:val="24"/>
        </w:rPr>
        <w:t>00:00</w:t>
      </w:r>
      <w:r>
        <w:rPr>
          <w:rFonts w:hint="eastAsia" w:ascii="宋体" w:hAnsi="宋体" w:cs="宋体"/>
          <w:color w:val="000000"/>
          <w:sz w:val="24"/>
        </w:rPr>
        <w:t>至</w:t>
      </w:r>
      <w:r>
        <w:rPr>
          <w:rFonts w:ascii="宋体" w:hAnsi="宋体" w:cs="宋体"/>
          <w:color w:val="000000"/>
          <w:sz w:val="24"/>
        </w:rPr>
        <w:t>16</w:t>
      </w:r>
      <w:r>
        <w:rPr>
          <w:rFonts w:hint="eastAsia" w:ascii="宋体" w:hAnsi="宋体" w:cs="宋体"/>
          <w:color w:val="000000"/>
          <w:sz w:val="24"/>
        </w:rPr>
        <w:t>:</w:t>
      </w:r>
      <w:r>
        <w:t xml:space="preserve"> </w:t>
      </w:r>
      <w:r>
        <w:rPr>
          <w:rFonts w:ascii="宋体" w:hAnsi="宋体" w:cs="宋体"/>
          <w:color w:val="000000"/>
          <w:sz w:val="24"/>
        </w:rPr>
        <w:t>00:00</w:t>
      </w:r>
      <w:r>
        <w:rPr>
          <w:rFonts w:hint="eastAsia" w:ascii="宋体" w:hAnsi="宋体" w:cs="宋体"/>
          <w:sz w:val="24"/>
        </w:rPr>
        <w:t>（北京时间，法定节假日除外 ）</w:t>
      </w:r>
    </w:p>
    <w:p w14:paraId="1EFA200D">
      <w:pPr>
        <w:spacing w:line="360" w:lineRule="auto"/>
        <w:ind w:firstLine="480" w:firstLineChars="200"/>
        <w:rPr>
          <w:rFonts w:ascii="宋体" w:hAnsi="宋体" w:cs="宋体"/>
          <w:sz w:val="24"/>
          <w:u w:val="single"/>
        </w:rPr>
      </w:pPr>
      <w:r>
        <w:rPr>
          <w:rFonts w:hint="eastAsia" w:ascii="宋体" w:hAnsi="宋体" w:cs="宋体"/>
          <w:sz w:val="24"/>
        </w:rPr>
        <w:t xml:space="preserve">地点：政采云平台线上获取  </w:t>
      </w:r>
    </w:p>
    <w:p w14:paraId="7CAC6152">
      <w:pPr>
        <w:spacing w:line="360" w:lineRule="auto"/>
        <w:ind w:firstLine="480" w:firstLineChars="200"/>
        <w:rPr>
          <w:rFonts w:ascii="宋体" w:hAnsi="宋体" w:cs="宋体"/>
          <w:sz w:val="24"/>
          <w:u w:val="single"/>
        </w:rPr>
      </w:pPr>
      <w:r>
        <w:rPr>
          <w:rFonts w:hint="eastAsia" w:ascii="宋体" w:hAnsi="宋体" w:cs="宋体"/>
          <w:sz w:val="24"/>
        </w:rPr>
        <w:t>方式：供应商登录政采云平台https://www.zcygov.cn/在线申请获取采购文件（进入“项目采购”应用，在获取采购文件菜单中选择项目，申请获取采购文件）</w:t>
      </w:r>
    </w:p>
    <w:p w14:paraId="7C1E7561">
      <w:pPr>
        <w:spacing w:line="360" w:lineRule="auto"/>
        <w:ind w:firstLine="480" w:firstLineChars="200"/>
        <w:rPr>
          <w:rFonts w:ascii="宋体" w:hAnsi="宋体" w:cs="宋体"/>
          <w:sz w:val="24"/>
        </w:rPr>
      </w:pPr>
      <w:r>
        <w:rPr>
          <w:rFonts w:hint="eastAsia" w:ascii="宋体" w:hAnsi="宋体" w:cs="宋体"/>
          <w:sz w:val="24"/>
        </w:rPr>
        <w:t>售价（元）：0</w:t>
      </w:r>
    </w:p>
    <w:p w14:paraId="378A0E56">
      <w:pPr>
        <w:spacing w:line="360" w:lineRule="auto"/>
        <w:rPr>
          <w:rFonts w:ascii="宋体" w:hAnsi="宋体" w:cs="宋体"/>
          <w:sz w:val="24"/>
        </w:rPr>
      </w:pPr>
      <w:bookmarkStart w:id="6" w:name="_Toc35393632"/>
      <w:bookmarkStart w:id="7" w:name="_Toc28359015"/>
      <w:bookmarkStart w:id="8" w:name="_Toc28359092"/>
      <w:bookmarkStart w:id="9" w:name="_Toc35393801"/>
      <w:bookmarkStart w:id="10" w:name="_Toc35393633"/>
      <w:bookmarkStart w:id="11" w:name="_Toc28359016"/>
      <w:bookmarkStart w:id="12" w:name="_Toc35393802"/>
      <w:bookmarkStart w:id="13" w:name="_Toc28359093"/>
      <w:r>
        <w:rPr>
          <w:rFonts w:hint="eastAsia" w:ascii="宋体" w:hAnsi="宋体"/>
          <w:sz w:val="24"/>
        </w:rPr>
        <w:t>四、</w:t>
      </w:r>
      <w:r>
        <w:rPr>
          <w:rFonts w:hint="eastAsia" w:ascii="宋体" w:hAnsi="宋体" w:cs="宋体"/>
          <w:sz w:val="24"/>
        </w:rPr>
        <w:t>响应文件提交</w:t>
      </w:r>
      <w:bookmarkEnd w:id="6"/>
      <w:bookmarkEnd w:id="7"/>
      <w:bookmarkEnd w:id="8"/>
      <w:bookmarkEnd w:id="9"/>
      <w:r>
        <w:rPr>
          <w:rFonts w:hint="eastAsia" w:ascii="宋体" w:hAnsi="宋体" w:cs="宋体"/>
          <w:sz w:val="24"/>
        </w:rPr>
        <w:t>：</w:t>
      </w:r>
    </w:p>
    <w:p w14:paraId="4654DC13">
      <w:pPr>
        <w:spacing w:line="360" w:lineRule="auto"/>
        <w:ind w:firstLine="480" w:firstLineChars="200"/>
        <w:rPr>
          <w:rFonts w:ascii="宋体" w:hAnsi="宋体"/>
          <w:bCs/>
          <w:sz w:val="24"/>
        </w:rPr>
      </w:pPr>
      <w:r>
        <w:rPr>
          <w:rFonts w:hint="eastAsia" w:ascii="宋体" w:hAnsi="宋体"/>
          <w:sz w:val="24"/>
        </w:rPr>
        <w:t>截止时间：</w:t>
      </w:r>
      <w:r>
        <w:rPr>
          <w:rFonts w:hint="eastAsia" w:ascii="宋体" w:hAnsi="宋体" w:cs="宋体"/>
          <w:color w:val="000000"/>
          <w:sz w:val="24"/>
        </w:rPr>
        <w:t>2026年</w:t>
      </w:r>
      <w:r>
        <w:rPr>
          <w:rFonts w:ascii="宋体" w:hAnsi="宋体" w:cs="宋体"/>
          <w:color w:val="000000"/>
          <w:sz w:val="24"/>
        </w:rPr>
        <w:t>0</w:t>
      </w:r>
      <w:r>
        <w:rPr>
          <w:rFonts w:hint="eastAsia" w:ascii="宋体" w:hAnsi="宋体" w:cs="宋体"/>
          <w:color w:val="000000"/>
          <w:sz w:val="24"/>
          <w:lang w:val="en-US" w:eastAsia="zh-CN"/>
        </w:rPr>
        <w:t>3</w:t>
      </w:r>
      <w:r>
        <w:rPr>
          <w:rFonts w:hint="eastAsia" w:ascii="宋体" w:hAnsi="宋体" w:cs="宋体"/>
          <w:color w:val="000000"/>
          <w:sz w:val="24"/>
        </w:rPr>
        <w:t>月</w:t>
      </w:r>
      <w:r>
        <w:rPr>
          <w:rFonts w:hint="eastAsia" w:ascii="宋体" w:hAnsi="宋体" w:cs="宋体"/>
          <w:color w:val="000000"/>
          <w:sz w:val="24"/>
          <w:lang w:val="en-US" w:eastAsia="zh-CN"/>
        </w:rPr>
        <w:t>26</w:t>
      </w:r>
      <w:r>
        <w:rPr>
          <w:rFonts w:hint="eastAsia" w:ascii="宋体" w:hAnsi="宋体" w:cs="宋体"/>
          <w:color w:val="000000"/>
          <w:sz w:val="24"/>
        </w:rPr>
        <w:t>日</w:t>
      </w:r>
      <w:bookmarkStart w:id="14" w:name="OLE_LINK31"/>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bookmarkEnd w:id="14"/>
      <w:r>
        <w:rPr>
          <w:rFonts w:hint="eastAsia" w:ascii="宋体" w:hAnsi="宋体"/>
          <w:bCs/>
          <w:sz w:val="24"/>
        </w:rPr>
        <w:t>（北京时间）</w:t>
      </w:r>
    </w:p>
    <w:p w14:paraId="408B8EC8">
      <w:pPr>
        <w:spacing w:line="360" w:lineRule="auto"/>
        <w:ind w:firstLine="480" w:firstLineChars="200"/>
        <w:rPr>
          <w:rFonts w:ascii="宋体" w:hAnsi="宋体"/>
          <w:kern w:val="0"/>
          <w:sz w:val="24"/>
        </w:rPr>
      </w:pPr>
      <w:r>
        <w:rPr>
          <w:rFonts w:hint="eastAsia" w:ascii="宋体" w:hAnsi="宋体"/>
          <w:kern w:val="0"/>
          <w:sz w:val="24"/>
        </w:rPr>
        <w:t>地点：请登录政采云投标客户端投标</w:t>
      </w:r>
    </w:p>
    <w:p w14:paraId="44F16C3E">
      <w:pPr>
        <w:spacing w:line="360" w:lineRule="auto"/>
        <w:rPr>
          <w:rFonts w:ascii="宋体" w:hAnsi="宋体"/>
          <w:kern w:val="0"/>
          <w:sz w:val="24"/>
        </w:rPr>
      </w:pPr>
      <w:r>
        <w:rPr>
          <w:rFonts w:hint="eastAsia" w:ascii="宋体" w:hAnsi="宋体"/>
          <w:kern w:val="0"/>
          <w:sz w:val="24"/>
        </w:rPr>
        <w:t xml:space="preserve">五、响应文件开启    </w:t>
      </w:r>
    </w:p>
    <w:p w14:paraId="7CD25B57">
      <w:pPr>
        <w:spacing w:line="360" w:lineRule="auto"/>
        <w:ind w:firstLine="480" w:firstLineChars="200"/>
        <w:rPr>
          <w:rFonts w:ascii="宋体" w:hAnsi="宋体"/>
          <w:kern w:val="0"/>
          <w:sz w:val="24"/>
        </w:rPr>
      </w:pPr>
      <w:r>
        <w:rPr>
          <w:rFonts w:hint="eastAsia" w:ascii="宋体" w:hAnsi="宋体"/>
          <w:kern w:val="0"/>
          <w:sz w:val="24"/>
        </w:rPr>
        <w:t>开启时间：2026年</w:t>
      </w:r>
      <w:r>
        <w:rPr>
          <w:rFonts w:ascii="宋体" w:hAnsi="宋体" w:cs="宋体"/>
          <w:color w:val="000000"/>
          <w:sz w:val="24"/>
        </w:rPr>
        <w:t>0</w:t>
      </w:r>
      <w:r>
        <w:rPr>
          <w:rFonts w:hint="eastAsia" w:ascii="宋体" w:hAnsi="宋体" w:cs="宋体"/>
          <w:color w:val="000000"/>
          <w:sz w:val="24"/>
          <w:lang w:val="en-US" w:eastAsia="zh-CN"/>
        </w:rPr>
        <w:t>3</w:t>
      </w:r>
      <w:r>
        <w:rPr>
          <w:rFonts w:hint="eastAsia" w:ascii="宋体" w:hAnsi="宋体" w:cs="宋体"/>
          <w:color w:val="000000"/>
          <w:sz w:val="24"/>
        </w:rPr>
        <w:t>月</w:t>
      </w:r>
      <w:r>
        <w:rPr>
          <w:rFonts w:hint="eastAsia" w:ascii="宋体" w:hAnsi="宋体" w:cs="宋体"/>
          <w:color w:val="000000"/>
          <w:sz w:val="24"/>
          <w:lang w:val="en-US" w:eastAsia="zh-CN"/>
        </w:rPr>
        <w:t>26</w:t>
      </w:r>
      <w:r>
        <w:rPr>
          <w:rFonts w:hint="eastAsia" w:ascii="宋体" w:hAnsi="宋体"/>
          <w:kern w:val="0"/>
          <w:sz w:val="24"/>
        </w:rPr>
        <w:t>日</w:t>
      </w:r>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r>
        <w:rPr>
          <w:rFonts w:hint="eastAsia" w:ascii="宋体" w:hAnsi="宋体"/>
          <w:kern w:val="0"/>
          <w:sz w:val="24"/>
        </w:rPr>
        <w:t xml:space="preserve">分（北京时间）        </w:t>
      </w:r>
    </w:p>
    <w:p w14:paraId="2D070A20">
      <w:pPr>
        <w:spacing w:line="360" w:lineRule="auto"/>
        <w:ind w:firstLine="480" w:firstLineChars="200"/>
        <w:rPr>
          <w:rFonts w:ascii="宋体" w:hAnsi="宋体"/>
          <w:kern w:val="0"/>
          <w:sz w:val="24"/>
        </w:rPr>
      </w:pPr>
      <w:r>
        <w:rPr>
          <w:rFonts w:hint="eastAsia" w:ascii="宋体" w:hAnsi="宋体"/>
          <w:kern w:val="0"/>
          <w:sz w:val="24"/>
        </w:rPr>
        <w:t>地点：</w:t>
      </w:r>
      <w:bookmarkEnd w:id="10"/>
      <w:bookmarkEnd w:id="11"/>
      <w:bookmarkEnd w:id="12"/>
      <w:bookmarkEnd w:id="13"/>
      <w:r>
        <w:rPr>
          <w:rFonts w:hint="eastAsia" w:ascii="宋体" w:hAnsi="宋体"/>
          <w:kern w:val="0"/>
          <w:sz w:val="24"/>
        </w:rPr>
        <w:t>长春净月高新技术产业开发区公共资源交易场所开标一室</w:t>
      </w:r>
    </w:p>
    <w:p w14:paraId="021C284C">
      <w:pPr>
        <w:spacing w:line="360" w:lineRule="auto"/>
        <w:rPr>
          <w:rFonts w:ascii="宋体" w:hAnsi="宋体" w:cs="宋体"/>
          <w:sz w:val="24"/>
        </w:rPr>
      </w:pPr>
      <w:r>
        <w:rPr>
          <w:rFonts w:hint="eastAsia" w:ascii="宋体" w:hAnsi="宋体" w:cs="宋体"/>
          <w:sz w:val="24"/>
        </w:rPr>
        <w:t>六、公告期限：</w:t>
      </w:r>
    </w:p>
    <w:p w14:paraId="0D42A7B5">
      <w:pPr>
        <w:spacing w:line="360" w:lineRule="auto"/>
        <w:ind w:firstLine="480" w:firstLineChars="200"/>
        <w:rPr>
          <w:rFonts w:ascii="宋体" w:hAnsi="宋体" w:cs="宋体"/>
          <w:kern w:val="0"/>
          <w:sz w:val="24"/>
        </w:rPr>
      </w:pPr>
      <w:r>
        <w:rPr>
          <w:rFonts w:hint="eastAsia" w:ascii="宋体" w:hAnsi="宋体" w:cs="宋体"/>
          <w:kern w:val="0"/>
          <w:sz w:val="24"/>
        </w:rPr>
        <w:t>自本公告发布之日起5个工作日。</w:t>
      </w:r>
    </w:p>
    <w:p w14:paraId="512871CB">
      <w:pPr>
        <w:spacing w:line="360" w:lineRule="auto"/>
        <w:rPr>
          <w:rFonts w:ascii="宋体" w:hAnsi="宋体" w:cs="宋体"/>
          <w:sz w:val="24"/>
        </w:rPr>
      </w:pPr>
      <w:r>
        <w:rPr>
          <w:rFonts w:hint="eastAsia" w:ascii="宋体" w:hAnsi="宋体" w:cs="宋体"/>
          <w:sz w:val="24"/>
        </w:rPr>
        <w:t>七</w:t>
      </w:r>
      <w:r>
        <w:rPr>
          <w:rFonts w:ascii="宋体" w:hAnsi="宋体" w:cs="宋体"/>
          <w:sz w:val="24"/>
        </w:rPr>
        <w:t>、</w:t>
      </w:r>
      <w:r>
        <w:rPr>
          <w:rFonts w:hint="eastAsia" w:ascii="宋体" w:hAnsi="宋体" w:cs="宋体"/>
          <w:sz w:val="24"/>
        </w:rPr>
        <w:t>其他补充事宜：</w:t>
      </w:r>
    </w:p>
    <w:p w14:paraId="17A25B92">
      <w:pPr>
        <w:spacing w:line="360" w:lineRule="auto"/>
        <w:ind w:firstLine="480" w:firstLineChars="200"/>
        <w:rPr>
          <w:rFonts w:ascii="宋体" w:hAnsi="宋体"/>
          <w:kern w:val="0"/>
          <w:sz w:val="24"/>
        </w:rPr>
      </w:pPr>
      <w:r>
        <w:rPr>
          <w:rFonts w:hint="eastAsia" w:ascii="宋体" w:hAnsi="宋体"/>
          <w:kern w:val="0"/>
          <w:sz w:val="24"/>
        </w:rPr>
        <w:t>1.采购项目落实的政府采购政策：《政府采购促进中小企业发展管理办法》（财库〔2020〕46号）、《关于印发中小企业划型标准规定的通知》（工信部联企业〔2011〕300号）、《关于政府采购支持监狱企业发展有关问题的通知》（财库〔2014〕68号）、《关于促进残疾人就业政府采购政策的通知》（财库〔2017〕141号）、《关于调整优化节能产品、环境标志产品政府采购执行机制的通知》（财库〔2019〕9号）、《关于印发环境标志产品政府采购品目清单的通知》（财库〔2019〕18号）、《关于印发节能产品政府采购品目清单的通知》（财库〔2019〕19号）等。</w:t>
      </w:r>
    </w:p>
    <w:p w14:paraId="4A9FAAA2">
      <w:pPr>
        <w:spacing w:line="360" w:lineRule="auto"/>
        <w:ind w:firstLine="480" w:firstLineChars="200"/>
        <w:rPr>
          <w:rFonts w:ascii="宋体" w:hAnsi="宋体"/>
          <w:kern w:val="0"/>
          <w:sz w:val="24"/>
        </w:rPr>
      </w:pPr>
      <w:r>
        <w:rPr>
          <w:rFonts w:hint="eastAsia" w:ascii="宋体" w:hAnsi="宋体"/>
          <w:kern w:val="0"/>
          <w:sz w:val="24"/>
        </w:rPr>
        <w:t>2.响应磋商供应商须在“政采云”平台（www.zcygov.cn）注册报名。</w:t>
      </w:r>
    </w:p>
    <w:p w14:paraId="6A61E456">
      <w:pPr>
        <w:spacing w:line="360" w:lineRule="auto"/>
        <w:ind w:firstLine="480" w:firstLineChars="200"/>
        <w:rPr>
          <w:rFonts w:ascii="宋体" w:hAnsi="宋体"/>
          <w:kern w:val="0"/>
          <w:sz w:val="24"/>
        </w:rPr>
      </w:pPr>
      <w:r>
        <w:rPr>
          <w:rFonts w:hint="eastAsia" w:ascii="宋体" w:hAnsi="宋体"/>
          <w:kern w:val="0"/>
          <w:sz w:val="24"/>
        </w:rPr>
        <w:t>3. 本次竞争性磋商采购公告同时在《中国政府采购网吉林省分网》、《长春市公共资源交易网》、《长春净月高新技术产业开发区政府采购中心网》上发布。</w:t>
      </w:r>
    </w:p>
    <w:p w14:paraId="4881AF21">
      <w:pPr>
        <w:spacing w:line="360" w:lineRule="auto"/>
        <w:ind w:firstLine="480" w:firstLineChars="200"/>
        <w:rPr>
          <w:rFonts w:ascii="宋体" w:hAnsi="宋体"/>
          <w:kern w:val="0"/>
          <w:sz w:val="24"/>
        </w:rPr>
      </w:pPr>
      <w:r>
        <w:rPr>
          <w:rFonts w:hint="eastAsia" w:ascii="宋体" w:hAnsi="宋体"/>
          <w:kern w:val="0"/>
          <w:sz w:val="24"/>
        </w:rPr>
        <w:t>4.若对“政采云”电子交易系统操作有疑问，可登录“政采云”（www.zcygov.cn），点击右侧咨询小采或拨打政采云服务热线400-881-7190获取服务帮助。</w:t>
      </w:r>
    </w:p>
    <w:p w14:paraId="32285071">
      <w:pPr>
        <w:spacing w:line="360" w:lineRule="auto"/>
        <w:ind w:firstLine="480" w:firstLineChars="200"/>
        <w:rPr>
          <w:rFonts w:ascii="宋体" w:hAnsi="宋体" w:cs="宋体"/>
          <w:color w:val="000000"/>
          <w:sz w:val="24"/>
        </w:rPr>
      </w:pPr>
      <w:r>
        <w:rPr>
          <w:rFonts w:hint="eastAsia" w:ascii="宋体" w:hAnsi="宋体"/>
          <w:kern w:val="0"/>
          <w:sz w:val="24"/>
        </w:rPr>
        <w:t>5.获取</w:t>
      </w:r>
      <w:r>
        <w:rPr>
          <w:rFonts w:ascii="宋体" w:hAnsi="宋体"/>
          <w:kern w:val="0"/>
          <w:sz w:val="24"/>
        </w:rPr>
        <w:t>采购文件截止时间为</w:t>
      </w:r>
      <w:r>
        <w:rPr>
          <w:rFonts w:hint="eastAsia" w:ascii="宋体" w:hAnsi="宋体"/>
          <w:kern w:val="0"/>
          <w:sz w:val="24"/>
        </w:rPr>
        <w:t>2026年</w:t>
      </w:r>
      <w:r>
        <w:rPr>
          <w:rFonts w:ascii="宋体" w:hAnsi="宋体"/>
          <w:kern w:val="0"/>
          <w:sz w:val="24"/>
        </w:rPr>
        <w:t>0</w:t>
      </w:r>
      <w:r>
        <w:rPr>
          <w:rFonts w:hint="eastAsia" w:ascii="宋体" w:hAnsi="宋体"/>
          <w:kern w:val="0"/>
          <w:sz w:val="24"/>
          <w:lang w:val="en-US" w:eastAsia="zh-CN"/>
        </w:rPr>
        <w:t>3</w:t>
      </w:r>
      <w:r>
        <w:rPr>
          <w:rFonts w:hint="eastAsia" w:ascii="宋体" w:hAnsi="宋体"/>
          <w:kern w:val="0"/>
          <w:sz w:val="24"/>
        </w:rPr>
        <w:t>月</w:t>
      </w:r>
      <w:r>
        <w:rPr>
          <w:rFonts w:hint="eastAsia" w:ascii="宋体" w:hAnsi="宋体"/>
          <w:kern w:val="0"/>
          <w:sz w:val="24"/>
          <w:lang w:val="en-US" w:eastAsia="zh-CN"/>
        </w:rPr>
        <w:t>19</w:t>
      </w:r>
      <w:r>
        <w:rPr>
          <w:rFonts w:hint="eastAsia" w:ascii="宋体" w:hAnsi="宋体"/>
          <w:kern w:val="0"/>
          <w:sz w:val="24"/>
        </w:rPr>
        <w:t>日</w:t>
      </w:r>
      <w:r>
        <w:rPr>
          <w:rFonts w:ascii="宋体" w:hAnsi="宋体" w:cs="宋体"/>
          <w:color w:val="000000"/>
          <w:sz w:val="24"/>
        </w:rPr>
        <w:t>16</w:t>
      </w:r>
      <w:r>
        <w:rPr>
          <w:rFonts w:hint="eastAsia" w:ascii="宋体" w:hAnsi="宋体" w:cs="宋体"/>
          <w:color w:val="000000"/>
          <w:sz w:val="24"/>
        </w:rPr>
        <w:t>:</w:t>
      </w:r>
      <w:r>
        <w:t xml:space="preserve"> </w:t>
      </w:r>
      <w:r>
        <w:rPr>
          <w:rFonts w:ascii="宋体" w:hAnsi="宋体" w:cs="宋体"/>
          <w:color w:val="000000"/>
          <w:sz w:val="24"/>
        </w:rPr>
        <w:t>00:00</w:t>
      </w:r>
      <w:r>
        <w:rPr>
          <w:rFonts w:hint="eastAsia" w:ascii="宋体" w:hAnsi="宋体" w:cs="宋体"/>
          <w:color w:val="000000"/>
          <w:sz w:val="24"/>
        </w:rPr>
        <w:t>。</w:t>
      </w:r>
    </w:p>
    <w:p w14:paraId="4FA2D584">
      <w:pPr>
        <w:spacing w:line="360" w:lineRule="auto"/>
        <w:ind w:firstLine="480" w:firstLineChars="200"/>
        <w:rPr>
          <w:rFonts w:ascii="宋体" w:hAnsi="宋体" w:cs="宋体"/>
          <w:color w:val="000000"/>
          <w:sz w:val="24"/>
        </w:rPr>
      </w:pPr>
      <w:r>
        <w:rPr>
          <w:rFonts w:hint="eastAsia" w:ascii="宋体" w:hAnsi="宋体" w:cs="宋体"/>
          <w:color w:val="000000"/>
          <w:sz w:val="24"/>
        </w:rPr>
        <w:t>6.有效</w:t>
      </w:r>
      <w:r>
        <w:rPr>
          <w:rFonts w:ascii="宋体" w:hAnsi="宋体" w:cs="宋体"/>
          <w:color w:val="000000"/>
          <w:sz w:val="24"/>
        </w:rPr>
        <w:t>供应商不足三家时，采购人另行组织招标。</w:t>
      </w:r>
    </w:p>
    <w:p w14:paraId="34E61A52">
      <w:pPr>
        <w:spacing w:line="360" w:lineRule="auto"/>
        <w:ind w:firstLine="120" w:firstLineChars="50"/>
        <w:rPr>
          <w:rFonts w:ascii="宋体" w:hAnsi="宋体" w:cs="宋体"/>
          <w:sz w:val="24"/>
        </w:rPr>
      </w:pPr>
      <w:r>
        <w:rPr>
          <w:rFonts w:hint="eastAsia" w:ascii="宋体" w:hAnsi="宋体" w:cs="宋体"/>
          <w:sz w:val="24"/>
        </w:rPr>
        <w:t>八</w:t>
      </w:r>
      <w:r>
        <w:rPr>
          <w:rFonts w:ascii="宋体" w:hAnsi="宋体" w:cs="宋体"/>
          <w:sz w:val="24"/>
        </w:rPr>
        <w:t>、</w:t>
      </w:r>
      <w:r>
        <w:rPr>
          <w:rFonts w:hint="eastAsia" w:ascii="宋体" w:hAnsi="宋体" w:cs="宋体"/>
          <w:sz w:val="24"/>
        </w:rPr>
        <w:t>凡对本次采购提出询问，请按以下方式联系：</w:t>
      </w:r>
    </w:p>
    <w:p w14:paraId="7A8C8ECE">
      <w:pPr>
        <w:spacing w:line="360" w:lineRule="auto"/>
        <w:ind w:firstLine="720" w:firstLineChars="300"/>
        <w:rPr>
          <w:rFonts w:ascii="宋体" w:hAnsi="宋体" w:cs="宋体"/>
          <w:sz w:val="24"/>
        </w:rPr>
      </w:pPr>
      <w:r>
        <w:rPr>
          <w:rFonts w:hint="eastAsia" w:ascii="宋体" w:hAnsi="宋体" w:cs="宋体"/>
          <w:sz w:val="24"/>
        </w:rPr>
        <w:t>1.采购人信息</w:t>
      </w:r>
    </w:p>
    <w:p w14:paraId="7D4F7EED">
      <w:pPr>
        <w:spacing w:line="360" w:lineRule="auto"/>
        <w:ind w:left="1079" w:leftChars="371" w:hanging="300" w:hangingChars="125"/>
        <w:jc w:val="left"/>
        <w:rPr>
          <w:rFonts w:ascii="宋体" w:hAnsi="宋体" w:cs="宋体"/>
          <w:sz w:val="24"/>
        </w:rPr>
      </w:pPr>
      <w:r>
        <w:rPr>
          <w:rFonts w:hint="eastAsia" w:ascii="宋体" w:hAnsi="宋体" w:cs="宋体"/>
          <w:sz w:val="24"/>
        </w:rPr>
        <w:t>名    称：长春净月高新技术产业开发区</w:t>
      </w:r>
      <w:r>
        <w:rPr>
          <w:rFonts w:hint="eastAsia" w:ascii="宋体" w:hAnsi="宋体" w:cs="宋体"/>
          <w:sz w:val="24"/>
          <w:lang w:eastAsia="zh-CN"/>
        </w:rPr>
        <w:t>教育</w:t>
      </w:r>
      <w:r>
        <w:rPr>
          <w:rFonts w:hint="eastAsia" w:ascii="宋体" w:hAnsi="宋体" w:cs="宋体"/>
          <w:sz w:val="24"/>
        </w:rPr>
        <w:t>局</w:t>
      </w:r>
    </w:p>
    <w:p w14:paraId="6DC5414E">
      <w:pPr>
        <w:spacing w:line="360" w:lineRule="auto"/>
        <w:ind w:left="1079" w:leftChars="371" w:hanging="300" w:hangingChars="125"/>
        <w:jc w:val="left"/>
        <w:rPr>
          <w:rFonts w:ascii="宋体" w:hAnsi="宋体" w:cs="宋体"/>
          <w:sz w:val="24"/>
        </w:rPr>
      </w:pPr>
      <w:r>
        <w:rPr>
          <w:rFonts w:hint="eastAsia" w:ascii="宋体" w:hAnsi="宋体" w:cs="宋体"/>
          <w:sz w:val="24"/>
        </w:rPr>
        <w:t>地    址：</w:t>
      </w:r>
      <w:bookmarkStart w:id="15" w:name="OLE_LINK6"/>
      <w:r>
        <w:rPr>
          <w:rFonts w:hint="eastAsia" w:ascii="宋体" w:hAnsi="宋体" w:cs="宋体"/>
          <w:sz w:val="24"/>
        </w:rPr>
        <w:t>长春净月高新技术产业开发区福祉大路1572号5号楼</w:t>
      </w:r>
    </w:p>
    <w:bookmarkEnd w:id="15"/>
    <w:p w14:paraId="132A446E">
      <w:pPr>
        <w:spacing w:line="360" w:lineRule="auto"/>
        <w:ind w:left="1079" w:leftChars="371" w:hanging="300" w:hangingChars="125"/>
        <w:jc w:val="left"/>
        <w:rPr>
          <w:rFonts w:hint="eastAsia" w:ascii="宋体" w:hAnsi="宋体" w:eastAsia="宋体" w:cs="宋体"/>
          <w:sz w:val="24"/>
          <w:lang w:eastAsia="zh-CN"/>
        </w:rPr>
      </w:pPr>
      <w:r>
        <w:rPr>
          <w:rFonts w:hint="eastAsia" w:ascii="宋体" w:hAnsi="宋体" w:cs="宋体"/>
          <w:sz w:val="24"/>
        </w:rPr>
        <w:t>联系方式：0431-</w:t>
      </w:r>
      <w:r>
        <w:rPr>
          <w:rFonts w:hint="eastAsia" w:ascii="宋体" w:hAnsi="宋体" w:cs="宋体"/>
          <w:sz w:val="24"/>
          <w:lang w:eastAsia="zh-CN"/>
        </w:rPr>
        <w:t>88690186</w:t>
      </w:r>
    </w:p>
    <w:p w14:paraId="6D0AF965">
      <w:pPr>
        <w:spacing w:line="360" w:lineRule="auto"/>
        <w:ind w:left="1079" w:leftChars="371" w:hanging="300" w:hangingChars="125"/>
        <w:jc w:val="left"/>
        <w:rPr>
          <w:rFonts w:ascii="宋体" w:hAnsi="宋体" w:cs="宋体"/>
          <w:sz w:val="24"/>
        </w:rPr>
      </w:pPr>
      <w:r>
        <w:rPr>
          <w:rFonts w:hint="eastAsia" w:ascii="宋体" w:hAnsi="宋体" w:cs="宋体"/>
          <w:sz w:val="24"/>
        </w:rPr>
        <w:t>2.采购代理机构信息</w:t>
      </w:r>
    </w:p>
    <w:p w14:paraId="590E8888">
      <w:pPr>
        <w:spacing w:line="360" w:lineRule="auto"/>
        <w:ind w:firstLine="720" w:firstLineChars="300"/>
        <w:rPr>
          <w:rFonts w:ascii="宋体" w:hAnsi="宋体" w:cs="宋体"/>
          <w:sz w:val="24"/>
        </w:rPr>
      </w:pPr>
      <w:r>
        <w:rPr>
          <w:rFonts w:hint="eastAsia" w:ascii="宋体" w:hAnsi="宋体" w:cs="宋体"/>
          <w:sz w:val="24"/>
        </w:rPr>
        <w:t>名    称：</w:t>
      </w:r>
      <w:r>
        <w:rPr>
          <w:rFonts w:hint="eastAsia" w:ascii="宋体" w:hAnsi="宋体"/>
          <w:sz w:val="24"/>
        </w:rPr>
        <w:t>长春净月高新技术产业开发区政府采购中心</w:t>
      </w:r>
    </w:p>
    <w:p w14:paraId="1D98B887">
      <w:pPr>
        <w:spacing w:line="360" w:lineRule="auto"/>
        <w:ind w:firstLine="720" w:firstLineChars="300"/>
        <w:rPr>
          <w:rFonts w:ascii="宋体" w:hAnsi="宋体" w:cs="宋体"/>
          <w:sz w:val="24"/>
        </w:rPr>
      </w:pPr>
      <w:r>
        <w:rPr>
          <w:rFonts w:hint="eastAsia" w:ascii="宋体" w:hAnsi="宋体" w:cs="宋体"/>
          <w:sz w:val="24"/>
        </w:rPr>
        <w:t>地　　址：</w:t>
      </w:r>
      <w:bookmarkStart w:id="16" w:name="OLE_LINK5"/>
      <w:r>
        <w:rPr>
          <w:rFonts w:hint="eastAsia" w:ascii="宋体" w:hAnsi="宋体"/>
          <w:sz w:val="24"/>
        </w:rPr>
        <w:t>长春净月高新技术产业开发区红梅街1号政务服务中心2楼223室</w:t>
      </w:r>
      <w:bookmarkEnd w:id="16"/>
    </w:p>
    <w:p w14:paraId="06EBD4D5">
      <w:pPr>
        <w:spacing w:line="360" w:lineRule="auto"/>
        <w:ind w:firstLine="720" w:firstLineChars="300"/>
        <w:rPr>
          <w:rFonts w:ascii="宋体" w:hAnsi="宋体" w:cs="宋体"/>
          <w:sz w:val="24"/>
          <w:u w:val="single"/>
        </w:rPr>
      </w:pPr>
      <w:r>
        <w:rPr>
          <w:rFonts w:hint="eastAsia" w:ascii="宋体" w:hAnsi="宋体" w:cs="宋体"/>
          <w:sz w:val="24"/>
        </w:rPr>
        <w:t>联系方式：0431-845</w:t>
      </w:r>
      <w:r>
        <w:rPr>
          <w:rFonts w:ascii="宋体" w:hAnsi="宋体" w:cs="宋体"/>
          <w:sz w:val="24"/>
        </w:rPr>
        <w:t>32410</w:t>
      </w:r>
    </w:p>
    <w:p w14:paraId="2050B54A">
      <w:pPr>
        <w:spacing w:line="360" w:lineRule="auto"/>
        <w:ind w:firstLine="720" w:firstLineChars="300"/>
        <w:rPr>
          <w:rFonts w:ascii="宋体" w:hAnsi="宋体" w:cs="宋体"/>
          <w:sz w:val="24"/>
        </w:rPr>
      </w:pPr>
      <w:r>
        <w:rPr>
          <w:rFonts w:hint="eastAsia" w:ascii="宋体" w:hAnsi="宋体" w:cs="宋体"/>
          <w:sz w:val="24"/>
        </w:rPr>
        <w:t>3.项目联系方式</w:t>
      </w:r>
    </w:p>
    <w:p w14:paraId="53479D6A">
      <w:pPr>
        <w:pStyle w:val="21"/>
        <w:spacing w:line="360" w:lineRule="auto"/>
        <w:ind w:firstLine="720" w:firstLineChars="300"/>
        <w:rPr>
          <w:rFonts w:hint="default" w:hAnsi="宋体" w:cs="宋体"/>
          <w:sz w:val="24"/>
          <w:szCs w:val="24"/>
        </w:rPr>
      </w:pPr>
      <w:r>
        <w:rPr>
          <w:rFonts w:hAnsi="宋体" w:cs="宋体"/>
          <w:sz w:val="24"/>
          <w:szCs w:val="24"/>
        </w:rPr>
        <w:t>项目联系人：朱丽</w:t>
      </w:r>
    </w:p>
    <w:p w14:paraId="7D6EDAEC">
      <w:pPr>
        <w:spacing w:line="360" w:lineRule="auto"/>
        <w:ind w:firstLine="720" w:firstLineChars="300"/>
        <w:rPr>
          <w:rFonts w:ascii="宋体" w:hAnsi="宋体" w:cs="宋体"/>
          <w:sz w:val="24"/>
        </w:rPr>
      </w:pPr>
      <w:r>
        <w:rPr>
          <w:rFonts w:hint="eastAsia" w:ascii="宋体" w:hAnsi="宋体" w:cs="宋体"/>
          <w:sz w:val="24"/>
        </w:rPr>
        <w:t>电　　  话：0431-845</w:t>
      </w:r>
      <w:r>
        <w:rPr>
          <w:rFonts w:ascii="宋体" w:hAnsi="宋体" w:cs="宋体"/>
          <w:sz w:val="24"/>
        </w:rPr>
        <w:t>32410</w:t>
      </w:r>
    </w:p>
    <w:p w14:paraId="20D193C3">
      <w:pPr>
        <w:spacing w:line="360" w:lineRule="auto"/>
        <w:rPr>
          <w:rFonts w:ascii="宋体" w:hAnsi="宋体"/>
          <w:sz w:val="24"/>
        </w:rPr>
      </w:pPr>
    </w:p>
    <w:bookmarkEnd w:id="3"/>
    <w:p w14:paraId="231E556A">
      <w:pPr>
        <w:spacing w:line="360" w:lineRule="auto"/>
        <w:ind w:firstLine="200"/>
        <w:rPr>
          <w:rFonts w:eastAsia="黑体"/>
          <w:color w:val="FF0000"/>
          <w:sz w:val="24"/>
        </w:rPr>
        <w:sectPr>
          <w:headerReference r:id="rId9" w:type="first"/>
          <w:footerReference r:id="rId11" w:type="first"/>
          <w:headerReference r:id="rId7" w:type="default"/>
          <w:footerReference r:id="rId10" w:type="default"/>
          <w:headerReference r:id="rId8" w:type="even"/>
          <w:pgSz w:w="11907" w:h="16840"/>
          <w:pgMar w:top="1134" w:right="1134" w:bottom="1134" w:left="1418" w:header="1021" w:footer="1021" w:gutter="0"/>
          <w:paperSrc w:first="15" w:other="15"/>
          <w:pgNumType w:start="1"/>
          <w:cols w:space="720" w:num="1"/>
          <w:docGrid w:linePitch="271" w:charSpace="0"/>
        </w:sectPr>
      </w:pPr>
    </w:p>
    <w:p w14:paraId="5DBF987A">
      <w:pPr>
        <w:spacing w:line="360" w:lineRule="auto"/>
        <w:ind w:firstLine="200"/>
        <w:rPr>
          <w:rFonts w:eastAsia="黑体"/>
          <w:sz w:val="24"/>
        </w:rPr>
        <w:sectPr>
          <w:type w:val="continuous"/>
          <w:pgSz w:w="11907" w:h="16840"/>
          <w:pgMar w:top="1134" w:right="1134" w:bottom="1134" w:left="1418" w:header="1021" w:footer="1021" w:gutter="0"/>
          <w:paperSrc w:first="15" w:other="15"/>
          <w:pgNumType w:start="1"/>
          <w:cols w:space="720" w:num="1"/>
          <w:docGrid w:linePitch="271" w:charSpace="0"/>
        </w:sectPr>
      </w:pPr>
    </w:p>
    <w:p w14:paraId="1A49596A">
      <w:pPr>
        <w:jc w:val="center"/>
        <w:outlineLvl w:val="0"/>
        <w:rPr>
          <w:rFonts w:ascii="宋体" w:hAnsi="宋体"/>
          <w:b/>
          <w:sz w:val="36"/>
          <w:szCs w:val="36"/>
        </w:rPr>
      </w:pPr>
    </w:p>
    <w:p w14:paraId="0AF7E9DD">
      <w:pPr>
        <w:jc w:val="center"/>
        <w:outlineLvl w:val="0"/>
        <w:rPr>
          <w:rFonts w:ascii="宋体" w:hAnsi="宋体"/>
          <w:b/>
          <w:sz w:val="36"/>
          <w:szCs w:val="36"/>
        </w:rPr>
      </w:pPr>
    </w:p>
    <w:p w14:paraId="63D37928">
      <w:pPr>
        <w:jc w:val="center"/>
        <w:outlineLvl w:val="0"/>
        <w:rPr>
          <w:rFonts w:ascii="宋体" w:hAnsi="宋体"/>
          <w:b/>
          <w:sz w:val="36"/>
          <w:szCs w:val="36"/>
        </w:rPr>
      </w:pPr>
    </w:p>
    <w:p w14:paraId="42DBE460">
      <w:pPr>
        <w:jc w:val="center"/>
        <w:outlineLvl w:val="0"/>
        <w:rPr>
          <w:rFonts w:ascii="宋体" w:hAnsi="宋体"/>
          <w:b/>
          <w:sz w:val="36"/>
          <w:szCs w:val="36"/>
        </w:rPr>
      </w:pPr>
    </w:p>
    <w:p w14:paraId="08D4FF7C">
      <w:pPr>
        <w:jc w:val="center"/>
        <w:outlineLvl w:val="0"/>
        <w:rPr>
          <w:rFonts w:ascii="宋体" w:hAnsi="宋体"/>
          <w:b/>
          <w:sz w:val="36"/>
          <w:szCs w:val="36"/>
        </w:rPr>
      </w:pPr>
    </w:p>
    <w:p w14:paraId="6E59EBE5">
      <w:pPr>
        <w:jc w:val="center"/>
        <w:outlineLvl w:val="0"/>
        <w:rPr>
          <w:rFonts w:ascii="宋体" w:hAnsi="宋体"/>
          <w:b/>
          <w:sz w:val="36"/>
          <w:szCs w:val="36"/>
        </w:rPr>
      </w:pPr>
    </w:p>
    <w:p w14:paraId="0ABBA4B5">
      <w:pPr>
        <w:jc w:val="center"/>
        <w:outlineLvl w:val="0"/>
        <w:rPr>
          <w:rFonts w:ascii="宋体" w:hAnsi="宋体"/>
          <w:b/>
          <w:sz w:val="36"/>
          <w:szCs w:val="36"/>
        </w:rPr>
      </w:pPr>
    </w:p>
    <w:p w14:paraId="5BAA789D">
      <w:pPr>
        <w:jc w:val="center"/>
        <w:outlineLvl w:val="0"/>
        <w:rPr>
          <w:rFonts w:ascii="宋体" w:hAnsi="宋体"/>
          <w:b/>
          <w:sz w:val="36"/>
          <w:szCs w:val="36"/>
        </w:rPr>
      </w:pPr>
    </w:p>
    <w:p w14:paraId="35E1F61A">
      <w:pPr>
        <w:jc w:val="center"/>
        <w:outlineLvl w:val="0"/>
        <w:rPr>
          <w:rFonts w:ascii="宋体" w:hAnsi="宋体"/>
          <w:b/>
          <w:sz w:val="36"/>
          <w:szCs w:val="36"/>
        </w:rPr>
      </w:pPr>
      <w:r>
        <w:rPr>
          <w:rFonts w:hint="eastAsia" w:ascii="宋体" w:hAnsi="宋体"/>
          <w:b/>
          <w:sz w:val="36"/>
          <w:szCs w:val="36"/>
        </w:rPr>
        <w:t>第二章</w:t>
      </w:r>
      <w:r>
        <w:rPr>
          <w:rFonts w:ascii="宋体" w:hAnsi="宋体"/>
          <w:b/>
          <w:sz w:val="36"/>
          <w:szCs w:val="36"/>
        </w:rPr>
        <w:br w:type="textWrapping"/>
      </w:r>
      <w:r>
        <w:rPr>
          <w:rFonts w:ascii="宋体" w:hAnsi="宋体"/>
          <w:b/>
          <w:sz w:val="36"/>
          <w:szCs w:val="36"/>
        </w:rPr>
        <w:br w:type="textWrapping"/>
      </w:r>
      <w:r>
        <w:rPr>
          <w:rFonts w:hint="eastAsia" w:ascii="宋体" w:hAnsi="宋体"/>
          <w:b/>
          <w:sz w:val="36"/>
          <w:szCs w:val="36"/>
        </w:rPr>
        <w:t>项目</w:t>
      </w:r>
      <w:r>
        <w:rPr>
          <w:rFonts w:ascii="宋体" w:hAnsi="宋体"/>
          <w:b/>
          <w:sz w:val="36"/>
          <w:szCs w:val="36"/>
        </w:rPr>
        <w:t>需求</w:t>
      </w:r>
    </w:p>
    <w:p w14:paraId="38AB1FD5">
      <w:pPr>
        <w:jc w:val="center"/>
        <w:outlineLvl w:val="0"/>
        <w:rPr>
          <w:rFonts w:ascii="宋体" w:hAnsi="宋体"/>
          <w:b/>
          <w:sz w:val="36"/>
          <w:szCs w:val="36"/>
        </w:rPr>
      </w:pPr>
    </w:p>
    <w:p w14:paraId="17F106CC">
      <w:pPr>
        <w:jc w:val="center"/>
        <w:outlineLvl w:val="0"/>
        <w:rPr>
          <w:rFonts w:ascii="宋体" w:hAnsi="宋体"/>
          <w:b/>
          <w:sz w:val="36"/>
          <w:szCs w:val="36"/>
        </w:rPr>
      </w:pPr>
    </w:p>
    <w:p w14:paraId="149E807A">
      <w:pPr>
        <w:jc w:val="center"/>
        <w:outlineLvl w:val="0"/>
        <w:rPr>
          <w:rFonts w:ascii="宋体" w:hAnsi="宋体"/>
          <w:b/>
          <w:sz w:val="36"/>
          <w:szCs w:val="36"/>
        </w:rPr>
      </w:pPr>
    </w:p>
    <w:p w14:paraId="1FB37CEC">
      <w:pPr>
        <w:jc w:val="center"/>
        <w:outlineLvl w:val="0"/>
        <w:rPr>
          <w:rFonts w:ascii="宋体" w:hAnsi="宋体"/>
          <w:b/>
          <w:sz w:val="36"/>
          <w:szCs w:val="36"/>
        </w:rPr>
      </w:pPr>
    </w:p>
    <w:p w14:paraId="43CC30D7">
      <w:pPr>
        <w:jc w:val="center"/>
        <w:outlineLvl w:val="0"/>
        <w:rPr>
          <w:rFonts w:ascii="宋体" w:hAnsi="宋体"/>
          <w:b/>
          <w:sz w:val="36"/>
          <w:szCs w:val="36"/>
        </w:rPr>
      </w:pPr>
    </w:p>
    <w:p w14:paraId="0B7A9069">
      <w:pPr>
        <w:jc w:val="center"/>
        <w:outlineLvl w:val="0"/>
        <w:rPr>
          <w:rFonts w:ascii="宋体" w:hAnsi="宋体"/>
          <w:b/>
          <w:sz w:val="36"/>
          <w:szCs w:val="36"/>
        </w:rPr>
      </w:pPr>
    </w:p>
    <w:p w14:paraId="7802B99F">
      <w:pPr>
        <w:jc w:val="center"/>
        <w:outlineLvl w:val="0"/>
        <w:rPr>
          <w:rFonts w:ascii="宋体" w:hAnsi="宋体"/>
          <w:b/>
          <w:sz w:val="36"/>
          <w:szCs w:val="36"/>
        </w:rPr>
      </w:pPr>
    </w:p>
    <w:p w14:paraId="1B9812C8">
      <w:pPr>
        <w:jc w:val="center"/>
        <w:outlineLvl w:val="0"/>
        <w:rPr>
          <w:rFonts w:ascii="宋体" w:hAnsi="宋体"/>
          <w:b/>
          <w:sz w:val="36"/>
          <w:szCs w:val="36"/>
        </w:rPr>
      </w:pPr>
    </w:p>
    <w:p w14:paraId="34154C9D">
      <w:pPr>
        <w:jc w:val="center"/>
        <w:outlineLvl w:val="0"/>
        <w:rPr>
          <w:rFonts w:ascii="宋体" w:hAnsi="宋体"/>
          <w:b/>
          <w:sz w:val="36"/>
          <w:szCs w:val="36"/>
        </w:rPr>
      </w:pPr>
    </w:p>
    <w:p w14:paraId="3028E13A">
      <w:pPr>
        <w:jc w:val="center"/>
        <w:outlineLvl w:val="0"/>
        <w:rPr>
          <w:rFonts w:ascii="宋体" w:hAnsi="宋体"/>
          <w:b/>
          <w:sz w:val="36"/>
          <w:szCs w:val="36"/>
        </w:rPr>
      </w:pPr>
    </w:p>
    <w:p w14:paraId="2B553EC5">
      <w:pPr>
        <w:jc w:val="center"/>
        <w:outlineLvl w:val="0"/>
        <w:rPr>
          <w:rFonts w:ascii="宋体" w:hAnsi="宋体"/>
          <w:b/>
          <w:sz w:val="36"/>
          <w:szCs w:val="36"/>
        </w:rPr>
      </w:pPr>
    </w:p>
    <w:p w14:paraId="0055D719">
      <w:pPr>
        <w:jc w:val="center"/>
        <w:outlineLvl w:val="0"/>
        <w:rPr>
          <w:rFonts w:ascii="宋体" w:hAnsi="宋体"/>
          <w:b/>
          <w:sz w:val="36"/>
          <w:szCs w:val="36"/>
        </w:rPr>
      </w:pPr>
    </w:p>
    <w:p w14:paraId="78299127">
      <w:pPr>
        <w:jc w:val="center"/>
        <w:outlineLvl w:val="0"/>
        <w:rPr>
          <w:rFonts w:ascii="宋体" w:hAnsi="宋体"/>
          <w:b/>
          <w:sz w:val="36"/>
          <w:szCs w:val="36"/>
        </w:rPr>
      </w:pPr>
    </w:p>
    <w:p w14:paraId="6DB2726A">
      <w:pPr>
        <w:jc w:val="center"/>
        <w:outlineLvl w:val="0"/>
        <w:rPr>
          <w:rFonts w:ascii="宋体" w:hAnsi="宋体"/>
          <w:b/>
          <w:sz w:val="36"/>
          <w:szCs w:val="36"/>
        </w:rPr>
        <w:sectPr>
          <w:footerReference r:id="rId12" w:type="default"/>
          <w:pgSz w:w="11907" w:h="16840"/>
          <w:pgMar w:top="1134" w:right="1134" w:bottom="1134" w:left="1418" w:header="1021" w:footer="1021" w:gutter="0"/>
          <w:paperSrc w:first="15" w:other="15"/>
          <w:pgNumType w:start="5"/>
          <w:cols w:space="720" w:num="1"/>
          <w:docGrid w:linePitch="271" w:charSpace="0"/>
        </w:sectPr>
      </w:pPr>
    </w:p>
    <w:bookmarkEnd w:id="4"/>
    <w:p w14:paraId="26E8A85F">
      <w:pPr>
        <w:pStyle w:val="69"/>
        <w:numPr>
          <w:ilvl w:val="0"/>
          <w:numId w:val="4"/>
        </w:numPr>
        <w:spacing w:line="360" w:lineRule="auto"/>
        <w:ind w:firstLineChars="0"/>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货物参数</w:t>
      </w:r>
    </w:p>
    <w:tbl>
      <w:tblPr>
        <w:tblStyle w:val="41"/>
        <w:tblW w:w="109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3"/>
        <w:gridCol w:w="1119"/>
        <w:gridCol w:w="5477"/>
        <w:gridCol w:w="668"/>
        <w:gridCol w:w="669"/>
        <w:gridCol w:w="1118"/>
        <w:gridCol w:w="1095"/>
      </w:tblGrid>
      <w:tr w14:paraId="5685C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F47C45D">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47E81DF">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货物名称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F8FDA05">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规格参数描述</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7326D21">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单位</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4C71E33">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数量</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B1B924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预算单价（元）</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14:paraId="6571FB1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预算总价（元）</w:t>
            </w:r>
          </w:p>
        </w:tc>
      </w:tr>
      <w:tr w14:paraId="10073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CB1968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0ABE4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86寸交互智能平板套装</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D7EFA8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一、整机部分</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1.整机材质：金属外壳，圆角包边防护（棱角处圆角半径≥5mm）；</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2.整机屏幕参考尺寸：至少 86 英寸液晶显示器，显示比例 16:9，分辨率至少 3840×2160；</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3.输入接口：至少包含 HDMI×2、RS232×1、USB 接口 ×3、Type-C×1（支持数据传输及反向充电）；</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4.输出接口：音频输出 ×1、USB 输出 ×1；</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5.支持多点红外触控（触控点数≥10 点，响应时间≤8ms）；</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6.屏幕亮度可调节（调节范围 200-500cd/㎡）；</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7.扬声器：至少 4 个，额定总功率≥60W，高音扬声器至少 2×10W，中低音扬声器至少 2×20W；</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8.有类纸屏功能（反射率≥35%，对比度≥1000:1）；</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9.一体机自带摄像头（像素≥800 万，支持 120° 广角）；</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10.一体机支持 WI-FI 无线上网，AP 无线热点，支持至少 30 台智能化设备同时连接；</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11.兼容性：支持智能化设备，投屏联网（兼容 AirPlay、Miracast 等主流投屏协议）；</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12.文件传输：支持通过扫码、wifi，USB 实现文件传输功能；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13.麦克风：内置≥4 阵列麦克风，拾音距离至少 12 米（支持降噪功能，信噪比≥65dB）；</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14.支持标准、听力、观影和 AI 空间感知音效模式（或等效环境自适应音效功能），可根据教室物理环境自动优化频段、音量及音效。</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支持同时查看≥15个教室的实时摄像头画面、设备屏幕画面；支持在一个显示界面同时查看单个教室内所有屏幕、所有摄像头的实时画面，以及所有麦克风的声音，其中摄像头画面可直接使用班班通自带摄像头。单台设备巡视时，支持远程发送文本消息、语音消息，支持记录备注、听课评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支持AI自动监测设备画面色情、恐怖、暴力、游戏等风险内容或元素；支持设置警告内容，当监测到不良画面后自动提醒；支持将每天监测到的风险结果自动推送至公众号提醒管理；支持按设备、按画面维度回溯历史监测到的不良画面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17.支持一键开启拦截垃圾信息能力。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支持解读设备运行数据，提供基建优化建议；支持根据网络带宽利用率分析网络稳定性并提供优化方案；支持根据硬件参数及流畅度达标情况分析设备运行稳定性并提供优化方案；支持根据安全服务开启情况分析设备运行风险并提供优化方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19.支持通过一体机麦克风监测教室中学生的朗读情况，并以游戏化界面反馈学生朗读音量大小。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20.通过一体机麦克风监测教室中学生音量大小，当学生音量大于阈值时，屏幕自动弹窗提醒进行自习纪律干预。</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二、内置电脑</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1.处理器至少 Intel i5 12 代；</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2.内存：至少 8GB DDR4 内存或以上配置；</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3.硬盘：至少 512GB SSD 固态硬盘。</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三、软件功能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1.教学功能：支持学科教学软件，包含语文、数学、英语、科学、物理、地理、化学等至少 7 科教学软件；</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2.软件编辑功能：支持电子文档编辑，具备文本工具、排版工具、编辑工具、书写工具、其他教学辅助工具（如屏幕截图工具、互动游戏工具、放大镜等）；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3.支持云存储；</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4.软件可提供课件模板，可设置教师独立账号，方便使用；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5.软件支持自动更新，免费更新（更新服务期限不少于 3 年）。</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四、音箱</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规格：</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（1）输出额定功率: 2×15W。</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（2）音箱灵敏度：85dB，1W/1M。</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（3）信噪比：80dB@额定功率、A 计权。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（4）全频喇叭单元参考尺寸：5 英寸。</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（5）声频响 110Hz-16kHz。</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（6）距离音箱 10 米处声压级≥75dB。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（7）具备：至少 1 路电源开关、至少 1 路 LINE IN、至少 1 路 USB 接口。USB 接口可外接 U 盘设备对音箱固件进行升级。</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（8）支持无线麦克风扩音接收，采用 2.4G/5G 双频段无线传输技术（含专用无线协议或等效抗干扰方案）。</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（9）红外对码。</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（10）独立音频数字信号处理芯片，支持啸叫抑制功能。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（11）支持蓝牙无线接收，可分享移动设备上的音频。支持密码模式，防止学生连接。</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（12）支持安卓手机通过蓝牙无线连接音箱，实现控制有源音箱的音量、设置蓝牙名称、设置蓝牙密码等功能，方便教师对音箱的管控。</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（13）支持交互智能平板显示设备通过蓝牙无线连接音箱，实现控制有源音箱的音量的功能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（14）支持交互智能黑板显示设备通过蓝牙无线连接音箱，实现控制有源音箱的音量的功能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五、麦克风</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规格参数:</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（1）采样率：48KHz，16bit；扩音增益：15dB；声频响 100Hz-16kHz，底噪：100uVrms，声信噪比：60dB；配合一体化有源音箱，扩音延时：35ms。</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（2）无线技术：采用 2.4G 无线传输技术（非 Wi-Fi 频段），支持自动跳频抗干扰。</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 2.4GHz 与 5G 双频段工作，信道数量至少 26 个。</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（4）电续航时间：至少 5 小时，满电状态可满足一天内 7 节课（45 分钟 / 一节课）的高频授课，充电 10 分钟满足一节课（45 分钟 / 一节课）授课时间。</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（5）红外对码方式连接，避免连接到其他教室音箱。可在 5 秒内快速完成与教学扩声音箱对码。</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（6）支持两个无线麦克风同时配对一个一体化有源音箱使用，实现两个麦克风混音输出进行扩音。</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（7）具备 Type-c 外置麦克风接口，与充电接口复用。可搭配 Type-C 接口的麦克风进行使用，比如头戴式、挂耳式的外置麦克风。</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（8）空旷无干扰的环境，无线传输有效距离至少 15 米。</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（9）领夹式，无需额外配件便可实现麦克风的领夹式使用。</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（10）外壳防火阻燃材料等级至少 V1。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六、智能笔</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1.笔身造型采用圆润一体化笔型设计，表面采用手感漆工艺便于握持；笔身长度 17cm±0.5cm, 笔身直径 13mm±0.3mm，笔身重量 18g±2g。</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2.笔身配置≥3 个实用按键，具备上下翻页，智能语音，远程聚光灯 / 放大，书写颜色切换等功能，兼顾触摸书写以及远程操控的握持姿态。</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3.采用锥型笔尖设计，直径 3mm；同时支持电容，红外触控设备书写，书写最小精度 2mm。</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4.连续书写时长≥8 小时（或等效书写量，满足日常教学需求）。</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5.短按上下翻页按键，可实现白板软件 /ppt/pdf 等文档上下翻页；长按上下翻页按键 3s，可实现 ppt 播放 / 退出。</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t>短按多功能按键，可实现播放 / 暂停音视频或 flash；双击此按键，可实现空鼠 / 放大镜 / 聚光灯等功能切换，切换顺序空鼠 &gt; 放大镜 &gt; 聚光灯；长按此按键即可实现对应功能 (空鼠 / 放大镜 / 聚光灯)。</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6.内置麦克风，支持按键唤醒语音识别功能，避免杂音造成误唤醒。</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唤醒语音识别时，可直接通过语音打开已安装的应用，可直接通过语音调用网络搜索引擎搜索查询相应资料，可进行语音转写输入，支持语音控制屏幕黑屏、亮屏，音量大小调整，返回桌面，截屏，关机等操作。</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8.支持按键调起批注功能，可通过按键实现批注颜色切换，长按按键可实现橡皮擦功能。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9.为保障用户在不同场景使用智能笔，支持无线 dongle 及蓝牙两种连接方式，支持蓝牙 5.1 协议。</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10.无线 dongle &amp; 蓝牙连接距离 12m，上下翻页 / 语音控制 / 远程批注实现距离 12m，覆盖标准教室。</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11.内置锂电池，支持 type-c 充电，待机时间 60h, 连续书写时间 8h，从无电到满电的充电时长 1 小时。</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12.支持智能休眠节电，当设备 5min 后无人操作时，设备自动进入休眠节电模式。</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391B0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2A31CD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12BAE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EC7F60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149500</w:t>
            </w:r>
          </w:p>
        </w:tc>
      </w:tr>
      <w:tr w14:paraId="23749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7E7A76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BC060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壁挂实物展台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8F8F8D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1.至少800万像素摄像头；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2.拍摄幅面：A4；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3.托板承重至少3kg；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4.具备LED补光功能；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5.接口： USB；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6.兼容设备：交互智能平板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F7A5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6E993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942D1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9BAD4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7800</w:t>
            </w:r>
          </w:p>
        </w:tc>
      </w:tr>
      <w:tr w14:paraId="034EA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63D36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18B1A5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LED全彩显示屏</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2E49E0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大屏尺寸：长 3.52m × 高 1.76m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（一）显示模组</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1.像素结构采用 SMD 表贴三合一设计，确保显示效果清晰连贯。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2.像素点间距≤1.538mm，像素密度≥422750 点 /㎡，保障画面精细度。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3.模组尺寸为 320mm×160mm，适配整体屏体安装需求。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4.刷新率≥3840Hz，避免画面闪烁，提升视觉舒适度。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5.色温支持 3000K-12000K 可调，满足不同场景显示需求。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6.白平衡亮度≥600cd/㎡，亮度均匀性≥95%，确保画面亮度一致。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7.对比度≥3000:1，黑色亮度≤0.0005cd/㎡，提升画面明暗层次感。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8.屏体平整度≤0.2mm，保障视觉上无明显拼接痕迹。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9.不同接收卡之间画面同步性≤1ms，避免画面延迟错位。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10.整屏失控点数≤1/1000000，验收时无失控点，无连续失控点、单列或单行像素失控现象，无常亮点。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（二）接收卡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1.单个接收卡最大支持带载 512×512 像素，配备 12 个标准 HUB75E 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2.单个接收卡最大支持 32 组 RGB 并行数据组，单个 hub 口单个数据组最大支持 64 行数据同时显示。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3.支持通过校正相机及配套软件，对单个 LED 灯珠的亮度和色度进行精准调节。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4.可通过自带软件实现 LED 模组间亮暗线调节，支持手动或定时自动调节显示图像的亮度、色温、gamma 值及色域。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5.支持红绿蓝（RGB）三种颜色单独进行 gamma 曲线调节，满足个性化色彩需求。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（三）电源配置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1.具备输出超负载保护、超电流保护、短路保护功能，保障设备稳定安全运行。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（四）其他要求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1.屏体结构需稳固可靠，适配会议室安装环境，便于后期维护。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2.屏体线材需符合国家相关标准，具备良好的传输性能和耐用性。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E0802D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88723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2B29F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58A42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60760</w:t>
            </w:r>
          </w:p>
        </w:tc>
      </w:tr>
      <w:tr w14:paraId="056F3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08D86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E9CE7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视频处理器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373A02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（一）显示功能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1.支持多画面显示功能，画面数量≥3 路，可实现多信号源同时呈现；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 OSD 台标叠加功能，台标位置、大小可灵活调整；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（二）带载能力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1.最大带载像素≥390 万，满足会议室 LED 显示屏高清显示需求；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（三）输入接口与分辨率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2.输入接口配置：至少包含 HDMI2.0 接口≥1 个、HDMI1.3 接口≥2 个（其中 1 个支持 Loop 环路输出）、USB 接口≥1 个、DVI 接口≥1 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3.最大输入分辨率：横向≥10240 像素，纵向≥8192 像素，兼容不同分辨率信号源输入；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（四）输出接口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1.输出接口配置：网口≥6 个，光纤接口≥2 个，支持灵活对接 LED 显示屏接收卡；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（五）核心功能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1.具备无级缩放算法，可实现信号源任意比例缩放，保证画面无失真；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2.支持多组屏控制功能，可实现对多个 LED 显示单元的统一或独立控制；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 U 盘播放功能，可直接读取 U 盘中的视频、图片等媒体文件进行展示；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三、其他要求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1.产品需符合国家相关质量标准；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2.支持与主流品牌 LED 显示屏兼容适配，不限制特定品牌或型号的显示屏对接；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02DF6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438ED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CFEEB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B46BB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3800</w:t>
            </w:r>
          </w:p>
        </w:tc>
      </w:tr>
      <w:tr w14:paraId="7B30E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E4DA2C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795CC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E39A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（一）处理器性能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1.处理器Intel i5-13500核心数≥14 核，缓存≥24MB；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2.基础频率≥2.5GHz，支持睿频功能，满足多任务处理及高清信号处理需求；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（二）内存配置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1.内存容量≥8GB，内存类型为 DDR4 或更高级别规格；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2.支持内存扩展，保障设备长期使用的性能扩展性；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（三）存储配置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1.存储介质：采用固态硬盘（SSD）；</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2.存储容量≥1TB，满足教学资料、媒体文件等存储需求；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（四）显卡配置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1.配置独立显卡，显存容量≥2GB；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2.支持高清信号输出，兼容 LED 显示屏高分辨率显示需求；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（五）输入设备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1.配备有线 USB 接口键盘和鼠标；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2.按键响应灵敏、操作舒适，满足长期教学会议使用场景；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（六）显示设备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1.显示器尺寸≥21.45 英寸，宽屏液晶显示规格；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2.显示器分辨率≥1920×1080，色彩还原真实、显示清晰；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3.显示器与控制主机需保障兼容适配，无功能冲突；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（七）质保要求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1.提供整机原厂免费质保服务，质保期限≥3 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2.质保期内包含免费维修、零部件更换及技术支持服务；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三、其他要求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1.支持与主流品牌 LED 显示屏、视频处理器等设备兼容对接；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AF310B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DAAC91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3F1C7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0741E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r>
      <w:tr w14:paraId="5A15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1B4A9B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6E9540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LED单色显示屏</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AA8149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大屏尺寸宽≥11.2m、高≥0.8m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（一）像素与显示性能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1.像素点间距≤10.0mm，像素密度≥10000Dots/㎡；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2.像素构成：单红色（1R），确保室外清晰可视；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3.单元板分辨率≥32×16=512Dots，保障显示画面完整性；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（二）单元板规格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1.单元板物理尺寸：长≥320.0mm、宽≥160.0mm、厚≤15.0mm；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2.单元板重量：≤0.45kg（含 ±0.05kg 误差范围），便于安装与维护；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（三）结构与材质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1.采用灯驱合一结构设计，简化安装流程，提升设备稳定性；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2.套件材料：采用聚碳酸脂（PC）料或同等及以上性能的耐候性材料，具备抗老化、抗冲击特性；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（四）电气性能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1.输入电压：直流 4.8V-5.5V，兼容主流供电标准；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2.最大工作电流：≤5.0A（含 ±0.1A 误差范围），运行稳定可靠；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（五）光学性能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1.显示屏亮度≥2200cd/㎡，满足室外强光环境下清晰显示需求；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2.亮度均匀性≥0.95，确保整屏显示效果一致，无明显明暗差异；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58EA3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2056A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1E2C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2635A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17024</w:t>
            </w:r>
          </w:p>
        </w:tc>
      </w:tr>
      <w:tr w14:paraId="6BBC9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28890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6ECD6D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基站空调</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94EB0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（一）基本规格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1.匹数规格：5P 分体式空调，支持冷暖双向运行模式；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2.满足地下电力机房高负荷、长时间稳定温控需求；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（二）热力性能参数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1.额定制冷量≥12050W，额定制冷功率≤3775W；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2.额定制热量≥13000W，最大制热功率≤4400W；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3.循环风量≥1750m³/h，保障机房快速换热、温度均匀；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（三）运行环境要求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1.额定工作温度范围：-7℃～43℃，适配机房复杂温度环境；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2.相对湿度适应范围：5%～95%，耐受高湿或低湿工况；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3.海拔适应能力：≤1000m，满足常规地下机房安装条件；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（四）电源要求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1.额定工作电源：交流 380V，兼容工业标准供电规格；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2.电源适配性强，支持稳定启动与持续运行；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（五）功能配置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1.支持断电补偿功能（来电自启），确保机房断电恢复后自动恢复温控；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2.额定工况下制冷能效比（EER）≥3.19，符合节能要求；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3.内循环面板配置液晶屏，支持通过屏幕进行运行参数设定及告警信息读取；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（六）可靠性要求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1.设计寿命：支持全年不间断运行，设计使用寿命≥10 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2.运行稳定性：年返修率≤3‰，保障机房长期稳定运行；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三、辅材及安装配套要求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1.配套辅材包含 5 匹基站空调专用铜管、空调安装打孔服务、外机专用支架、4X5 芯电缆线、冷凝水提升泵；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2.所有辅材需符合国家相关质量标准，与空调设备兼容适配，满足地下机房安装及长期使用需求；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85AAA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70CF6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041760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16300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FA6E7F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16300</w:t>
            </w:r>
          </w:p>
        </w:tc>
      </w:tr>
      <w:tr w14:paraId="5DB5B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7B695F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2676E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基站空调</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CBC3B0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（一）基本规格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1.匹数规格：3P 分体式空调，支持冷暖双向运行模式；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2.满足地下电力机房高负荷、长时间稳定温控需求；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（二）热力性能参数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1.额定制冷量≥7500W，额定制冷功率≤2351W；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2.额定制热量≥7550W，最大制热功率≤2300W；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3.循环风量≥1750m³/h，保障机房快速换热、温度均匀；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（三）运行环境要求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1.额定工作温度范围：-7℃～43℃，适配机房复杂温度环境；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2.相对湿度适应范围：5%～95%，耐受高湿或低湿工况；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3.海拔适应能力：≤1000m，满足常规地下机房安装条件；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（四）电源要求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1.额定工作电源：交流 380V，兼容工业标准供电规格；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2.电源适配性强，支持稳定启动与持续运行；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（五）功能配置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1.支持断电补偿功能（来电自启），确保机房断电恢复后自动恢复温控；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2.额定工况下制冷能效比（EER）≥3.19，符合节能要求；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3.内循环面板配置液晶屏，支持通过屏幕进行运行参数设定及告警信息读取；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（六）可靠性要求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1.设计寿命：支持全年不间断运行，设计使用寿命≥10 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2.运行稳定性：年返修率≤3‰，保障机房长期稳定运行；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三、辅材及安装配套要求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1.配套辅材包含 3 匹基站空调专用铜管、空调安装打孔服务、外机专用支架、4X5 芯电缆线、冷凝水提升泵；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2.所有辅材需符合国家相关质量标准，与空调设备兼容适配，满足地下机房安装及长期使用需求；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E8670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5F85B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559B9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C845E1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14000</w:t>
            </w:r>
          </w:p>
        </w:tc>
      </w:tr>
      <w:tr w14:paraId="23E6D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E57B10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1BBD6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无线吸顶AP（无线接入点）</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F40384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1、支持IEEE 802.11ax（Wi-Fi 6）标准协议，向下兼容IEEE 802.11a/b/g/n/ac等前代无线协议，保障新旧设备接入兼容性；整机最大无线传输速率≥1501Mbps，满足多用户高带宽数据传输需求；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2、内置矩阵式智能天线，具备良好的信号覆盖能力与抗干扰性能；提供千兆以太网口数量≥2个，支持PoE供电（若为非PoE机型需配套电源适配器），简化布线部署；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3、支持SSID与802.1Q VLAN进行一对一或一对多映射配置，实现网络分区管理；支持中文SSID设置及SSID隐藏功能，提升校园无线网络使用安全性与便捷性；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4、支持基于SSID的接入用户数限制功能，可根据教学场景需求灵活调控单SSID连接设备数量；支持虚拟AP（VAP）技术，单射频可配置的SSID数量≥16个，满足校园不同区域、不同用户群体的网络隔离需求。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5、产品符合国家及相关行业标准；</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CD487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40306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D8E18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97D7E5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83600</w:t>
            </w:r>
          </w:p>
        </w:tc>
      </w:tr>
      <w:tr w14:paraId="30429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B54ED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AE5CD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POE(以太网供电)交换机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C40099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1、配置千兆PoE电口数量≥24个，千兆SFP光口数量≥4个，满足多设备接入及光纤扩展需求；交换机整机交换性能≥670Gbps，包转发率≥140Mpps，保障数据高速转发，适配校园高并发网络场景；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2、支持IEEE 802.3af/at标准PoE供电，单端口最大输出功率≥30W，可适配无线AP、网络摄像头等不同功率PoE设备；整机最大PoE输出功率≥370W，满足多设备同时供电需求；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3、具备端口安全管控功能，支持将任意交换机端口配置为信任端口或非信任端口；非信任端口支持配置DHCP报文响应白名单，仅允许白名单内设备获取IP地址，提升校园网络接入安全性；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4、支持WEB图形化网管特性，界面简洁易操作，可实现设备状态监控、配置管理、故障排查等功能，降低校园网络运维难度；同时兼容云管理平台，支持远程集中管理，适配多区域设备统一运维需求；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5、支持IGMP Snooping V1、V2、V3版本协议，可精准识别组播流量，避免组播风暴，保障校园视频监控、多媒体教学等组播业务稳定运行。</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0CD11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3C22A3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702EF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A8B91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26990</w:t>
            </w:r>
          </w:p>
        </w:tc>
      </w:tr>
      <w:tr w14:paraId="17301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6DB124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27AA7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核心交换机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38FD33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1、配置千兆SFP光口数量≥24个，万兆SFP+光口数量≥4个，以太网口数量≥8个，扩展槽位数量≥1个，Console管理口数量≥1个；整机交换性能≥2.4Tbps，包转发率≥750Mpps，保障局域网核心数据高效转发；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2、支持STP、RSTP、MSTP生成树协议，防止网络环路；支持IGMP v1/v2/v3 Snooping协议，优化组播流量转发；支持VLAN数量≥4096个（4K），满足网络分区管理需求；支持DHCP Server功能，可为本网设备分配IP地址；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3、支持在主流网络控制平台管理下实现M-LAG（跨设备链路聚合）功能，实现跨设备链路冗余与负载分担；配对设备具备独立控制平面，保障单设备故障不影响另一设备正常运行；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4、支持通过移动APP进行远程管理操作，可实现交换机网络配置修改、状态监控等功能；支持通过网管平台跨广域网、NAT环境远程管理设备，适配多区域网络统一运维需求；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5、支持在网络控制平台管理下，实现内网终端私接随身Wi-Fi共享行为的识别与禁止功能，保障校园网络接入安全与带宽资源合理利用；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6、支持DHCP Snooping功能，防范DHCP欺骗攻击；支持将任意端口配置为信任端口或非信任端口，非信任端口可配置DHCP报文响应白名单，仅允许白名单内设备获取IP；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7、支持在网络控制平台管理下创建东西向安全策略，可对终端间通信流量进行管控，实现全网安全风险拦截与防护。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6A044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310D03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811CEE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BF16DF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14999</w:t>
            </w:r>
          </w:p>
        </w:tc>
      </w:tr>
      <w:tr w14:paraId="626B9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97BCF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0C6F46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光模块</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CC5C66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规格类型：SFP封装千兆单模光模块，符合SFP Multi-Source Agreement (MSA)标准，保障与主流品牌交换机兼容；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光纤适配：支持单模光纤传输，工作波长为1310nm，适配常见单模光纤链路；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传输性能：最大传输距离≥10km，在标准传输条件下保障数据稳定传输，满足交换机间长距离连接需求；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接头类型：采用LC型接头，接头插拔顺畅、连接紧密，符合行业通用接口标准。</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982FD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94E98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D0C9B8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B43B2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3000</w:t>
            </w:r>
          </w:p>
        </w:tc>
      </w:tr>
      <w:tr w14:paraId="153DC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27808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2C78D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无线网关</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403CE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1、配置千兆以太网口数量≥5个，千兆光接口数量≥1个，USB接口数量≥1个；支持≥2个WAN口配置链路冗余备份功能，保障网络接入可靠性；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2、支持IEEE 802.11a/b/g/n/ac/ax等主流无线协议，兼容不同年代、不同类型的无线终端设备接入，保障网络使用兼容性；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3、具备完善的终端管理功能，支持查看终端实时流量收发状态、在线状态、认证类型、在线时长、VLAN归属信息、终端型号规格、接入位置等核心数据，便于校园网络运维管理；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4、支持Portal认证页面自定义配置功能，可灵活设置页面展示信息、页面标题、文字描述、免责声明等内容，适配校园网络认证场景需求；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5、支持丰富的无线安全认证与加密方式，包含OPEN认证、802.1X账号认证、WPA-PSK、WPA2-PSK及WPA-PSK/WPA2-PSK混合加密模式，保障校园无线网络接入安全；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6、具备应用识别功能，可识别常见网络应用数量≥300种，能精准识别邮件、网络游戏、P2P流媒体、WEB流媒体、金融交易、办公OA、移动终端应用等主流应用类型，为流量管控提供依据；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7、支持智能带宽管理功能，可针对不同流量内容设定带宽保证通道，能基于上下行方向、IP地址段、时间段、接入线路等多维度配置通道带宽保障策略，提升关键业务使用体验；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8、具备网络优化能力，支持多播优化、广播优化及ARP广播转单播功能，有效减少无线空口资源浪费，提升无线终端接入稳定性与网络使用体验；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9、支持NAT地址转换、DHCP服务器、DDNS动态域名解析功能，具备完整路由网关能力；支持静态IP、DHCP自动获取、PPPoE拨号三种主流上网方式，适配不同网络接入场景；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10、支持WEB图形化界面管理，操作简洁直观，降低运维难度；支持基于微信小程序进行设备开局配置，提升部署效率。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11、具备完善的安全防护功能，支持ACL访问控制列表、MAC地址过滤；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12、支持与校园现有网络架构、云管理平台、交换机、无线AP等设备通过标准协议兼容对接，无需额外改造；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13、产品符合国家及相关行业标准；</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1033F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CF0F6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471DB9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0BF41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4599</w:t>
            </w:r>
          </w:p>
        </w:tc>
      </w:tr>
      <w:tr w14:paraId="03118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131E9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85597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45913B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052EF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3122A44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89FF22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432CE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26000</w:t>
            </w:r>
          </w:p>
        </w:tc>
      </w:tr>
      <w:tr w14:paraId="5C3BB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41251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127A2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481589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1.类别：六类水晶头；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2.数量：每盒 100 个。</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00411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267B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AD7BB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0B703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r>
      <w:tr w14:paraId="71C5D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4194A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4BCD4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壁挂机柜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612A51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1.材质：冷轧钢板，厚度：立梁 1.5mm 外皮 0.8mm；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2.规格：（长*宽*高 单位：mm）550 mm *400 mm *450mm；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3.载重：50kg；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4.前后网门，带锁。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474034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58CC03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33469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9C3F2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2354E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47B93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19313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992E7D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2.厚度：架体 1.2mm 、盖板 1.0mm；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3.安装方式：机架式安装；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4.颜色：黑色；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5.高度： 1U。</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6E035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30B370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689FB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7B729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390</w:t>
            </w:r>
          </w:p>
        </w:tc>
      </w:tr>
      <w:tr w14:paraId="4016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4C91A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01B13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PDU</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A4B36C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线长： 1800mm；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多少孔：8 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输入插头： 10A 插孔。</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A1C20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AE53C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3E84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46B6C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712</w:t>
            </w:r>
          </w:p>
        </w:tc>
      </w:tr>
      <w:tr w14:paraId="584DD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B9515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8E6DC7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27F5A5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3*2.5 平方多股护套线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55C79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36567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2F297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F46570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1C53B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D0DCA9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8AD93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网络摄像机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390826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1.400万筒型网络摄像机，最高分辨率可达2560 * 1440 @25 fps；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2.支持SmartIR，防止夜间红外过曝；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3.支持开放型网络视频接口；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4.1个内置麦克风；</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5.采用高效阵列红外灯，红外照射最远可达50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6.传感器类型：1/2.7" Progressive Scan CMOS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7.最低照度：彩色：0.005 Lux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8.宽动态：数字宽动态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9.焦距&amp;视场角：4 mm，水平视场角：70°，垂直视场角：35°，对角视场角：85°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mm，水平视场角：46°，垂直视场角：24°，对角视场角：54°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mm，水平视场角：43°，垂直视场角：24°，对角视场角：50°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12 mm，水平视场角：27°，垂直视场角：15°，对角视场角：31°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10.红外波长范围：850 nm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11.防补光过曝：支持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12.补光灯类型：红外灯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13.补光距离：最远可达50 m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14.最大分辨率：2560 * 1440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15.网络：1个RJ45 10 M/100 M自适应以太网口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16.供电方式：DC：12 V ± 25%，支持防反接保护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C27C0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E269A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290EF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4DC98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22900</w:t>
            </w:r>
          </w:p>
        </w:tc>
      </w:tr>
      <w:tr w14:paraId="12B72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1B5C3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E2C39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监控电源</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4D49BC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1.输出：12V 2A；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2.输入：100-240V 50/60Hz</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BDAB25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42B5EA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E8454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047F4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r>
      <w:tr w14:paraId="1DAAC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8C71C4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2484F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监控支架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9E2A9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1.颜色: 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 铝合金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3.最小管径: 184.6 × 94 × 65mm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4.承重:≥ 0.7KG</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5AF35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DC3633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B2E35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9DBF7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w:t>
            </w:r>
          </w:p>
        </w:tc>
      </w:tr>
      <w:tr w14:paraId="3F946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86381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6CE602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硬盘</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19441E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标称容量：标称容量≥8TB，满足监控视频长时间存储需求；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外形规格：采用3.5-inch（3.5英寸）标准尺寸，适配主流监控硬盘录像机（DVR/NVR）；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接口类型：支持SATA接口，符合SATA标准协议，保障与设备兼容连接；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存储技术：采用传统磁记录（CMR）技术，提升数据存储稳定性与读写可靠性，适配监控多流并发写入场景；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转速：转速≥7200RPM，保障监控视频数据高速读写，减少存储延迟；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缓存：缓存容量≥256MB，提升数据读写缓存能力，优化监控视频存储效率；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最大读取速度：最大连续读取速度≥248MB/s，满足监控视频回放与调取需求；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接口传输速率：接口最大传输速率≥6.0Gb/s，符合SATA III接口性能标准；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平均读写功率：平均读写功率≤9.29W，能耗较低，适配监控系统长时间运行需求；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工作模式：支持24小时×7天连续稳定运行，具备监控级硬盘特有固件优化，适配多摄像头并发写入场景；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数据保护：支持错误自动修复（ECC）功能，具备磁头停泊保护技术，降低意外震动导致的损坏风险；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兼容性：支持与主流品牌监控硬盘录像机（DVR/NVR）兼容对接，无需额外配置即可正常使用；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可靠性：平均无故障工作时间（MTBF）≥180万小时，年故障率≤0.33%，保障监控数据存储安全；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环境适应性：工作温度范围0℃-60℃，存储温度范围-40℃-70℃，适应监控机房及室外设备箱环境。</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DD381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5CC7D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D6803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20985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40000</w:t>
            </w:r>
          </w:p>
        </w:tc>
      </w:tr>
      <w:tr w14:paraId="12D42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AB755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B7DE7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存储一体机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214639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8U机架式结构，盘位数量≥48个，搭载64位多核处理器，配置1+1冗余电源及冗余风扇，保障设备稳定运行；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处理器：配置≥1颗64位多核处理器，满足多任务并行处理需求；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系统内存：≥8GB，支持扩展，最大可扩展至≥64GB；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系统盘：配置≥1块240GB SSD固态硬盘，用于系统运行；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存储接口：配备≥48个SATA接口，支持硬盘热插拔功能，便于维护；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网络接口：配备≥2个千兆数据网口，≥1个千兆管理网口，支持数据传输与设备管理分离；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其他接口：配备≥1个COM接口、≥2个USB2.0接口、≥2个USB3.0接口、≥1个VGA接口，满足多样化扩展需求；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整机电源：总功率≥1200W，配置1+1冗余电源，支持故障无缝切换；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视频性能：最大支持接入路数≥450路，最大接入带宽≥900Mbps；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回放性能：最大支持回放路数≥45路（单路码流2Mbps）；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事件录像：最大支持事件录像路数≥200路（单路码流2Mbps）；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支持视频流直写功能，提升录像存储效率；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支持ONVIF、GB/T 28181、RTSP等主流标准协议，保障与各类监控设备兼容；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支持VRAID、RAID0、RAID1、RAID5、RAID6、RAID10等多种RAID模式，满足不同数据保护需求；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支持VRAID模式下RAID降级可读写功能；支持RAID0、1、5、6、10模式下全局热备功能，多重保护数据安全；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支持RAID即建即用功能，支持存储空间在线扩展，满足后期容量增长需求；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支持RAID局部重构功能，原盘或其克隆盘拔出设备后重新插回，未被覆盖数据可实现快速恢复；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支持定时录像、事件触发录像、手动录像等多种录像方式，灵活适配不同场景；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支持视频检索功能，可按照监控点编号、录像类型、时间组合等多条件进行精准查询；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支持视频回放功能，包含正序回放、定位回放、倍速回放等常用功能，满足录像查看需求；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支持按需取流功能，未处于录像计划时间内的通道不占用网络带宽，优化带宽资源利用；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产品符合国家相关质量标准；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支持与校园现有监控系统、管理平台兼容对接，无适配冲突；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C5E45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24967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404E1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4D25E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r>
      <w:tr w14:paraId="04A94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EB2F8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D0E44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管理服务器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23A3F0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2U单路标准机架式服务器，符合机架式安装规范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CPU：配置≥1颗高性能64位处理器，核数≥16核，线程数≥32，基础频率≥2.8GHz，TDP≥135W，末级缓存≥32MB，支持内存最高速率≥5200MHz，满足多任务处理需求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内存：配置≥64GB DDR5内存，内存插槽≥4根，支持内存容量扩展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硬盘：配置≥2块1.2TB SAS硬盘；前置硬盘位最大支持≥12块3.5寸（兼容2.5寸）热插拔SATA/SAS硬盘，后置硬盘位最大支持≥2块2.5寸热插拔SATA/SAS硬盘，满足存储扩展需求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阵列卡：配置≥1块SAS+HBA多功能阵列卡，支持RAID 0/1/10模式，保障数据存储安全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PCIE扩展：支持≥4个PCIe 4.0标准扩展插槽，满足显卡、网卡等设备扩展需求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网口：配置≥2个千兆电口，支持选配10GbE、25GbE SFP+等多种规格网络接口，适配不同网络环境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其他接口：配置≥1个千兆RJ-45管理接口，≥2个VGA接口，≥5个USB接口，≥1个Type-C Debug接口，满足设备管理及外设连接需求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电源：配置≥550W（1+1）高效CRPS冗余白金电源，支持故障无缝切换，保障设备稳定运行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机箱规格：机箱宽度≤446mm，高度≤87mm，深度≤475mm（不含侧耳），符合2U机架安装尺寸标准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设备重量：最大重量≤30千克（不含导轨），便于安装与维护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BACA9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4C77C7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05D08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638F9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r>
      <w:tr w14:paraId="0A847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97775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4F0CA3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综合安防管理平台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0AB91C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支持≥500路视频授权，具备完善的视频监控应用及视频管理服务能力，可实现视频预览、录像回放、视频上墙、视频事件监控等核心功能；在网络带宽不足或存在流量限制的环境下，支持通过图片替代视频的模式提供稳定监控服务，保障监控连续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一、视频预览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1、具备视频实时预览功能，支持预览窗口布局灵活切换、预览画面自适应显示及全屏切换操作，适配不同监控场景需求；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2、支持云台控制、实时抓图、紧急录像、即时回放、主子码流智能切换、音频开关控制、辅屏预览（至少支持1个辅屏）、对讲、广播及报警输出控制等基础操作能力；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3、支持智能数据展示功能，可对接热成像等智能设备并实时展示温度等核心监测信息；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4、具备资源视图管理功能，支持以视图形式对监控点、视频预览轮巡等资源进行自定义分组管理，视图类型至少包含公有视图和私有视图，满足多用户使用需求；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5、支持全景视频监控预览功能，兼容球型鹰眼、全景摄像机等设备的全景展示模式，实现大范围场景监控。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二、录像回放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1、具备录像计划管理功能，支持实时录像计划制定、录像回传计划配置及灵活调整，适配不同时段监控需求；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2、具备完善的录像回放功能，支持多画面同步与异步回放切换、超高倍速回放、分段回放、录像下载、录像剪辑、录像标签标注、录像锁定保护及录像抓图等操作，满足录像追溯与取证需求。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三、图片监控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1、支持视频预览与图片实时监控模式一键切换，在带宽受限场景下可自动或手动切换至图片监控模式；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2、具备图片查询回放功能，支持按监控点、时间段等条件精准筛选并展示抓拍图片；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3、支持图片自动播放功能，播放速度可根据需求灵活设置，适配不同查看场景；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4、具备图片下载功能，支持单张或批量下载图片文件，便于数据留存。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四、视频上墙</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1、具备电视墙场景管理功能，支持场景窗口布局配置、场景切换计划设定及轮巡计划制定与管理，实现标准化展示；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2、具备便捷的上墙控制功能，支持场景一键上墙、场景快速切换、电视墙设备切换、监控点灵活上下墙及轮巡启停控制等操作。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五、视频事件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1、具备视频事件布撤防功能，支持按计划模板进行自动化布防与撤防，可识别的事件类型至少包含移动侦测、视频丢失、视频遮挡、报警输入、报警输出等常见异常情况，实现异常事件及时预警。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2、支持ONVIF、GB/T 28181等主流标准协议，保障与现有及未来可能采购的各类品牌监控设备、服务器、存储设备兼容对接；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3、平台具备良好的扩展性，支持授权路数、功能模块的后期升级扩展，满足校园安防监控规模扩大需求；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9D9F3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44F933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F436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D3E45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18500</w:t>
            </w:r>
          </w:p>
        </w:tc>
      </w:tr>
      <w:tr w14:paraId="651BA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0883F7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E3FF79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解码器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D766A5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支持电脑、视频会议终端等主流视频输入信号源，本地HDMI 1.4输入接口支持≥2路1080P@50/60Hz或≥1路4K@30Hz信号接入，HDMI接口支持内嵌音频传输；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支持网络IPC、NVR等常见网络监控设备作为信号源输入，兼容主流厂商设备；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支持HDMI 1.4视频信号输出，可输出4K分辨率（3840 × 2160@30 Hz）超高清图像；支持与LED显示系统对接，单路视频输出口最大LED带载能力≥260W；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具备完善的音频输出功能，支持HDMI内嵌音频和外置音频输出两种方式，满足不同音频传输需求；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支持H.264、H.265等主流编码标准，默认优先采用H.265高效编码格式，支持主码流与子码流编码模式；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具备强大的网络设备解码能力，支持H.264、H.265、MJPEG等主流码流格式，兼容PS、TS、ES、RTP等常见封装格式，支持主码流与子码流灵活切换，保障不同场景下的解码适配；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最大支持解码分辨率≥3200万像素，解码通道总数≥256个，具备≥128路200万像素或≥256路720P视频同时解码上墙能力；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支持加密码流、多轨码流及智能码流解码；支持码流参数修改与实时切换；具备解码异常自动提示功能，便于故障排查；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支持电视墙基础控制功能，包含单面拼接、开窗、窗口跨屏漫游、场景轮巡和窗口轮巡；单屏支持≥4个1080P或≥2个4K图层叠加，单窗口支持1/4/6/8/9/16/25/36等多种分屏模式；整机支持场景数量≥64个，平台预案轮巡组数量≥256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支持RTP、RTSP等标准网络协议进行网络源预览，可通过客户端实现桌面投屏上墙功能；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支持在电视墙操作界面对网络信号源云台进行八方向控制、自动扫描、光圈调节、调焦、聚焦及预置点调用等操作；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支持电视墙窗口预览启停、解码启停、轮巡启停、声音开关及窗口置顶/置底等操作，实现便捷管控；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视频解码格式：支持H.264、H.265、MJPEG；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解码分辨率：最高支持≥3200万像素；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视频解码通道：总数≥256个；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视频解码能力（H.264/H.265格式）：支持≥8路3200万像素，或≥8路2400万像素，或≥16路1200万像素，或≥32路800万像素，或≥40路600万像素，或≥64路400万像素，或≥128路1080P，或≥256路720P及以下分辨率实时解码（每4个输出口为一组，共享组内解码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MJPEG格式解码能力：支持≥16路1080P及以下分辨率实时解码；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单口画面分割数：支持1、2、4、6、8、9、12、16、25、36等多种分割模式；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场景数量：整机支持≥64个；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视频输出分辨率：支持3840 × 2160@30 Hz、2560 × 1440@30 Hz、1920 × 1200@60 Hz、1920 × 1080@60 Hz、1920 × 1080@50 Hz、1680 × 1050@60 Hz、1600 × 1200@60 Hz、1280 × 1024@60 Hz、1280 × 720@60 Hz、1280 × 720@50 Hz、1024 × 768@60 Hz等常见分辨率；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视频输出LED带载能力：单口带载≥260W，支持宽度144～4096、高度144～2160，宽度2对齐、高度2对齐的LED屏规格；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视频输出接口类型：配置≥16路HDMI 1.4接口，支持4K信号输出；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视频输入分辨率：支持3840×2160@30Hz、1920×1200@60Hz、1920×1080@60Hz、1920×1080@50Hz、1280×720@60Hz、1280×720@50Hz、1600×1200@60Hz、1280×960@60Hz、1680×1050@60Hz、1440×900@60Hz、1366×768@60Hz、1280×1024@60Hz、1024×768@60Hz等；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 【自定义分辨率】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1）60Hz刷新率下，支持宽度800~1920、高度600~1200的自定义分辨率；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2）30Hz刷新率下，支持宽度800~3840、高度600~2160的自定义分辨率；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3）自定义分辨率需满足宽度4对齐、高度2对齐的技术规范；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 视频输入接口：配置≥2路HDMI 1.4接口，奇数接口最大支持4K信号接入；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 音频输入接口：支持≥2路HDMI内嵌音频输入；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 音频输出接口：支持≥16路HDMI内嵌音频输出，或通过DB15转BNC实现独立音频输出；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 音频解码格式：支持G711-A、G711-U、G722.1、G726-16/U/A、MPEG、AAC-LC等常见格式；</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22C96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F0286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E0DBC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A67492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22500</w:t>
            </w:r>
          </w:p>
        </w:tc>
      </w:tr>
      <w:tr w14:paraId="6E623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56B20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1CF22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66C60F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处理器：配置≥1颗高性能多核处理器，核心数≥14核，基础频率≥2.5GHz，末级缓存≥24MB，满足监控系统多任务并行处理需求；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内存：配置≥8GB DDR4规格内存，支持内存容量扩展，适配监控软件运行需求；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硬盘：配置≥1TB固态硬盘，保障系统及监控数据快速读写与存储安全；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显卡：配置独立显卡，显存容量≥2GB，支持监控画面高清显示及多画面分割展示；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键鼠：配备有线USB接口键盘和鼠标，按键响应灵敏，满足监控操作便捷性需求；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显示器：配置≥21.45英寸宽屏液晶显示器，分辨率≥1920×1080，显示清晰、色彩还原准确，与控制主机兼容适配，保障监控画面正常呈现；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质保：提供整机原厂免费质保服务，质保期限≥3年，质保期内包含免费维修、零部件更换及技术支持服务。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支持与现有监控平台、解码器、存储设备等通过标准协议兼容对接，无适配冲突；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主机具备良好的散热性能，支持长时间稳定运行，适配监控系统24小时工作需求；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51BDB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281DF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9D5532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89240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r>
      <w:tr w14:paraId="0106B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8C3424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AAB64C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67F6FA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规格：长度≥3m，满足综合布线场景下设备连接距离需求；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类型：单模单芯规格，采用SC-SC型接头，接头连接紧密、插拔顺畅，支持标准光纤连接；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材质：外皮采用PVC或同等及以上性能的环保阻燃材料，具备良好的抗老化、抗磨损及绝缘性能，适应布线环境使用要求。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光学性能：插入损耗≤0.3dB，回波损耗≥50dB，保障光信号稳定传输；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物理性能：具备良好的柔韧性和抗拉强度，可承受适度弯曲与拉伸，不易断裂；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支持与现有网络设备、综合布线系统兼容对接，接头尺寸符合行业标准，无连接适配问题；</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CAF9AE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F260F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5DEBC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B8DC3B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r>
      <w:tr w14:paraId="370B2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C94F40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9D14C0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光纤收发器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3A65EB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具备1个千兆RJ45 接口和 1个千兆 FC 光口，以满足不同类型的连接需求，实现网络信号的有效传输。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2.光纤相关参数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光纤类型：支持单模单纤，纤芯 / 包层参考尺寸为 9/125μm，确保与常见的单模光纤兼容。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传输距离：传输距离不小于20公里，能够满足较长距离的光纤连接需求。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波长：支持常见的单模光纤通信波长组合，如 T*1550nm/R*1310nm 或类似的常用波长对，保证信号的稳定传输。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3.光电性能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发射功率：发射功率范围在-10 ~ 1dB 之间，以适应不同的光纤传输环境和设备要求。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接收灵敏度：接收灵敏度不高于 -19dB，确保能够有效接收并处理较弱的光信号。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4.安装与环境适应性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安装方式：支持DIN卡轨安装，方便设备的安装和固定，也可兼容其他常见的安装方式，增加安装的灵活性。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操作温度：操作温度范围为 -30 ~ 70</w:t>
            </w:r>
            <w:r>
              <w:rPr>
                <w:rFonts w:ascii="Malgun Gothic Semilight" w:hAnsi="Malgun Gothic Semilight" w:eastAsia="Malgun Gothic Semilight" w:cs="Malgun Gothic Semilight"/>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C，能够适应较为宽泛的工作环境温度变化。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5.防护性能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浪涌防护：具备不低于 4KV 的浪涌防护能力，有效保护设备免受浪涌冲击的损害。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防护等级：防护等级达到IP40或以上，防止外物侵入，保障设备在正常使用环境下的可靠性。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B6967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8BFB9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EA8B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1034</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D344BA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2068</w:t>
            </w:r>
          </w:p>
        </w:tc>
      </w:tr>
      <w:tr w14:paraId="16AC6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1D7A4B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F2AD65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565405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1.非网管千兆POE交换机(24千兆POE电+1千兆电+1千兆光)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2.提供24个千兆PoE电口，1个千兆电口，1个千兆光口。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3.支持6 KV防浪涌（PoE口）、支持PoE输出功率管理。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4.安装方式：机架式（1U高，19英寸宽）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5.供电方式：100-240V～,50/60Hz,6.3A 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6.风扇：风扇 × 2</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7.浪涌防护：网口6 KV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8.整机最大功耗：400 W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9.PoE标准：IEEE 802.3af/at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10.供电线芯：支持4芯供电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11.PoE端口：端口1~24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12.端口最大供电功率：30 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13.整机最大供电功率：370 W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14.端口规格：24个千兆PoE电口，1个千兆电口，1个千兆光口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15.交换容量：52 Gbps</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CC023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B1110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188E6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41C01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14994</w:t>
            </w:r>
          </w:p>
        </w:tc>
      </w:tr>
      <w:tr w14:paraId="5A720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31E0D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A120C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7CEEB2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1.8个千兆PoE电口，1个千兆电口，1个千兆光口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2.交换容量 20 Gbps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3.包转发率 14.88 Mpps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4.支持IEEE 802.3at/af</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5.端口最大供电功率 30 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6.整机最大供电功率 110 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7.支持6 KV防浪涌（PoE口）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8.支持PoE输出功率管理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9.安装方式：桌面式可壁挂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154E7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C19A6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57E17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4054D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5000</w:t>
            </w:r>
          </w:p>
        </w:tc>
      </w:tr>
      <w:tr w14:paraId="00A6F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D3851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0D44E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A4DE5F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4C05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9C7CAC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A114BE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ECB177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9750</w:t>
            </w:r>
          </w:p>
        </w:tc>
      </w:tr>
      <w:tr w14:paraId="28E87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2EEB44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7FB8A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BB7240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1.类别：六类水晶头；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2.数量：每盒 100 个。</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7B798B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58E809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D6EF1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BED3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r>
      <w:tr w14:paraId="4EA05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6672F4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D515B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188C33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2.厚度：架体 1.2mm 、盖板 1.0mm；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3.安装方式：机架式安装；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4.颜色：黑色；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5.高度： 1U。</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200D0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31E12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3A8AE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7C9AE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390</w:t>
            </w:r>
          </w:p>
        </w:tc>
      </w:tr>
      <w:tr w14:paraId="460F5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39875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B0000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7339E6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3*2.5 平方多股护套线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971EB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DBCB6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A16DA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BAA1D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41E25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AB207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591B2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室外监控杆</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BB28E5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1.规格：4m；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2.材质：镀锌钢管；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3.厚度：≥1.5mm；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FCB75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33BD7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82668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7158D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2750</w:t>
            </w:r>
          </w:p>
        </w:tc>
      </w:tr>
      <w:tr w14:paraId="0238A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FFD13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6F4B3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室外防水箱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E90F05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1.规格：≥400mm*500*180mm；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2.材质：不锈钢；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3.厚度：≥0.5mm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86040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55CCD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67787B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6B9D8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w:t>
            </w:r>
          </w:p>
        </w:tc>
      </w:tr>
      <w:tr w14:paraId="32EAC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5F2F0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039AC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PDU</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6F18C5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1.线长： 1800mm；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多少孔：8 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输入插头： 10A 插孔。</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A609DE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18399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C066A0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1B787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890</w:t>
            </w:r>
          </w:p>
        </w:tc>
      </w:tr>
      <w:tr w14:paraId="1CD80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B2A5E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951B8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D3D298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1.HDMI 10m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2.线缆类型（音视频线）：铜缆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3.视频版本：HDMI 1.4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4.支持最大分辨率：4K 30Hz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5.接口类型：HDMI</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F7FDA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BF204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32B5D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25611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r>
      <w:tr w14:paraId="77027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790486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9BB428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网络摄像机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251B74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1.400万筒型网络摄像机，最高分辨率可达2560 * 1440 @25 fps；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2.支持SmartIR，防止夜间红外过曝；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3.支持开放型网络视频接口；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4.1个内置麦克风；</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5.采用高效阵列红外灯，红外照射最远可达50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6.传感器类型：1/2.7" Progressive Scan CMOS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7.最低照度：彩色：0.005 Lux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8.宽动态：数字宽动态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9.焦距&amp;视场角：4 mm，水平视场角：70°，垂直视场角：35°，对角视场角：85°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mm，水平视场角：46°，垂直视场角：24°，对角视场角：54°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mm，水平视场角：43°，垂直视场角：24°，对角视场角：50°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12 mm，水平视场角：27°，垂直视场角：15°，对角视场角：31°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10.红外波长范围：850 nm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11.防补光过曝：支持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12.补光灯类型：红外灯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13.补光距离：最远可达50 m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14.最大分辨率：2560 * 1440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15.网络：1个RJ45 10 M/100 M自适应以太网口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16.供电方式：DC：12 V ± 25%，支持防反接保护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012D7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4BC2D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893B9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8133F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87936</w:t>
            </w:r>
          </w:p>
        </w:tc>
      </w:tr>
      <w:tr w14:paraId="3FCEB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205DF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4A06C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62836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1.颜色: 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 铝合金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3.最小管径: 184.6 × 94 × 65mm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4.承重: ≥0.7KG</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BC656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4012D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9E67F8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753AC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8640</w:t>
            </w:r>
          </w:p>
        </w:tc>
      </w:tr>
      <w:tr w14:paraId="1FA2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23B51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B222FD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硬盘</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850DBD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标称容量：标称容量≥8TB，满足监控视频长时间存储需求；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外形规格：采用3.5-inch（3.5英寸）标准尺寸，适配主流监控硬盘录像机（DVR/NVR）；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接口类型：支持SATA接口，符合SATA标准协议，保障与设备兼容连接；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存储技术：采用传统磁记录（CMR）技术，提升数据存储稳定性与读写可靠性，适配监控多流并发写入场景；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转速：转速≥7200RPM，保障监控视频数据高速读写，减少存储延迟；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缓存：缓存容量≥256MB，提升数据读写缓存能力，优化监控视频存储效率；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最大读取速度：最大连续读取速度≥248MB/s，满足监控视频回放与调取需求；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接口传输速率：接口最大传输速率≥6.0Gb/s，符合SATA III接口性能标准；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平均读写功率：平均读写功率≤9.29W，能耗较低，适配监控系统长时间运行需求；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工作模式：支持24小时×7天连续稳定运行，具备监控级硬盘特有固件优化，适配多摄像头并发写入场景；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数据保护：支持错误自动修复（ECC）功能，具备磁头停泊保护技术，降低意外震动导致的损坏风险；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兼容性：支持与主流品牌监控硬盘录像机（DVR/NVR）兼容对接，无需额外配置即可正常使用；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可靠性：平均无故障工作时间（MTBF）≥180万小时，年故障率≤0.33%，保障监控数据存储安全；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环境适应性：工作温度范围0℃-60℃，存储温度范围-40℃-70℃，适应监控机房及室外设备箱环境；</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BCAE7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9CB6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89D44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6D79A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96000</w:t>
            </w:r>
          </w:p>
        </w:tc>
      </w:tr>
      <w:tr w14:paraId="6E1AA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16084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ED8BA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汇聚交换机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14D503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设备类型：三层千兆智能汇聚交换机，配置24个千兆电口及4个万兆光口，满足监控网数据汇聚与高速传输需求；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端口配置：支持24个10/100/1000Base-T自适应以太网电口，4个10G SFP+以太网光口，适配不同传输距离的监控设备连接；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路由功能：支持策略路由及RIP、OSPF、BGP、IS-IS等主流三层路由协议，满足监控网跨网段数据转发需求；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管理功能：支持PC客户端及移动APP远程管理，可实现设备状态监控、配置修改、故障告警等功能；支持接入主流统一网络管理平台，实现多设备集中运维；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DHCP功能：支持DHCP Server（服务器）、DHCP Relay（中继）、DHCP Snooping功能，可精准分配监控设备IP地址，防范DHCP欺骗攻击；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队列调度：支持SP（严格优先级）、WRR（加权轮询）、SP+WRR混合调度等队列调度方式，保障监控视频流等关键业务优先传输；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安全认证：支持IEEE 802.1x认证、Radius认证、Tacacs+认证等安全接入机制，防范非法设备接入监控网络；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防雷防护：端口支持10kV防雷保护及10kV浪涌防护，降低恶劣环境下雷击对设备的损坏风险；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交换性能：整机交换容量≥598 Gbps，包转发率≥144 Mpps，保障多摄像头并发视频数据高效转发；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电源规格：支持AC 100V~240V宽电压输入，适配校园不同供电环境；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功耗控制：空载功耗≤30W，整机最大功耗≤100W，节能环保；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散热系统：配备≥2个固化风扇，支持智能调速，确保设备在高负载下稳定散热；</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环境适应性：工作温度0°C - 45°C，工作湿度5% - 95%（非冷凝）；存储温度–40°C~85°C，存储湿度5%~95%（非冷凝），适应机房及室外机柜等场景；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兼容性：支持与主流品牌监控硬盘录像机（NVR）、摄像头、核心交换机等通过标准协议兼容对接，无需额外改造；</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02ED7B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EF8ED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6FD4D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7980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482801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7980</w:t>
            </w:r>
          </w:p>
        </w:tc>
      </w:tr>
      <w:tr w14:paraId="32279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71FA2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885F8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硬盘录像机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8E2511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设备规格：3U机架式16盘位嵌入式网络硬盘录像机（NVR），搭载高性能ATX电源，稳定性符合监控系统24小时运行需求；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存储接口：配备≥16个SATA接口，支持硬盘热插拔功能，单盘位最大支持20TB硬盘，可满配扩展存储容量；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视频接口：配备≥2个HDMI接口、≥2个VGA接口，支持多画面同时显示；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网络接口：配备≥2个RJ45 10/100/1000Mbps自适应以太网口，支持链路冗余与负载均衡；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报警接口：支持≥16路报警输入、≥4路报警输出，可联动监控摄像头实现异常事件响应；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串行接口：配备≥1路RS-232接口、≥1路全双工RS-485接口，支持与云台等设备联动控制；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USB接口：配备≥2个USB 2.0接口、≥2个USB 3.0接口，支持外接存储设备快速备份数据。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传输性能：输入带宽≥384Mbps，输出带宽≥256Mbps，保障多路监控视频流稳定传输；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接入能力：支持≥64路H.264、H.265格式高清码流接入，兼容不同编码格式的监控摄像头；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解码能力：最大支持≥32×1080P码流解码，满足多画面实时预览需求；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显示能力：支持最大8K+1080P、2×4K异源输出模式，适配高清显示设备；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数据保护：支持RAID0、RAID1、RAID5、RAID6、RAID10等多种RAID模式，配备全局热备盘功能；启用RAID时支持适配监控级硬盘或企业级硬盘，保障监控数据存储安全与冗余备份；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管理功能：支持本地WEB界面管理及远程PC客户端、移动APP管理，可实现设备配置、录像查询、远程回放等功能；支持接入主流安防监控管理平台，实现多设备集中运维；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录像功能：支持定时录像、移动侦测录像、报警触发录像等多种录像模式，支持录像文件加密存储与水印防伪，防止数据篡改；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兼容性：支持与主流品牌网络摄像头、汇聚交换机、显示设备等通过标准协议兼容对接，无需额外适配；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环境适应性：工作温度0℃-45℃，工作湿度10%-90%（非冷凝），适应校园机房环境；</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88D695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64A4E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FBB8A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38E448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29400</w:t>
            </w:r>
          </w:p>
        </w:tc>
      </w:tr>
      <w:tr w14:paraId="40B9B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38DC2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33686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EAE762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设备类型：非网管千兆POE交换机，配置24个千兆POE电口、1个千兆电口及1个千兆光口，适配监控网设备供电与数据传输需求；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端口配置：配备24个千兆PoE电口（端口1~24）、1个千兆电口、1个千兆光口，支持监控摄像头与网络设备灵活连接；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防护性能：PoE端口支持6KV防浪涌保护，网口具备6KV浪涌防护能力，降低恶劣环境下设备损坏风险；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安装规格：采用1U高、19英寸宽机架式设计，可嵌入标准机柜安装，节省空间；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供电参数：支持AC 100-240V宽电压输入，输入频率50/60Hz，最大输入电流6.3A，适配校园不同供电环境；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散热系统：配备2个散热风扇，支持智能散热，保障设备高负载下稳定运行；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功耗控制：整机最大功耗≤400W，其中PoE整机最大供电功率≤370W，能耗合理；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PoE标准：符合IEEE 802.3af/at标准，单PoE端口最大供电功率≤30W，支持4芯供电模式，适配主流PoE监控摄像头；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功率管理：支持PoE输出功率智能管理，可根据接入设备功率需求动态分配供电资源，避免过载；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交换性能：整机交换容量≥52 Gbps，保障多路监控视频流高速转发，无卡顿延迟；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兼容性：支持与主流品牌网络摄像头、硬盘录像机（NVR）、汇聚交换机等监控设备通过标准协议兼容对接，即插即用；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安全特性：具备过流、过载、短路保护功能，PoE端口异常时自动切断供电，保护设备安全；</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C7BB88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24FE9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560AC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FA46A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24990</w:t>
            </w:r>
          </w:p>
        </w:tc>
      </w:tr>
      <w:tr w14:paraId="25E1D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EACA5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38B8B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3F8517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规格：长度≥3m，满足综合布线场景下设备连接距离需求；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类型：单模单芯规格，采用SC-SC型接头，接头连接紧密、插拔顺畅，支持标准光纤连接；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材质：外皮采用PVC或同等及以上性能的环保阻燃材料，具备良好的抗老化、抗磨损及绝缘性能，适应布线环境使用要求。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光学性能：插入损耗≤0.3dB，回波损耗≥50dB，保障光信号稳定传输；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物理性能：具备良好的柔韧性和抗拉强度，可承受适度弯曲与拉伸，不易断裂；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支持与现有网络设备、综合布线系统兼容对接，接头尺寸符合行业标准，无连接适配问题；</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FF1B8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267CE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DFAB5B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E7A53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r>
      <w:tr w14:paraId="2B3AB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66582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637AFC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光纤收发器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21976D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具备1个千兆RJ45 接口和 1个千兆 FC 光口，以满足不同类型的连接需求，实现网络信号的有效传输。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2.光纤相关参数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光纤类型：支持单模单纤，纤芯 / 包层参考尺寸为 9/125μm，确保与常见的单模光纤兼容。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传输距离：传输距离不小于20公里，能够满足较长距离的光纤连接需求。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波长：支持常见的单模光纤通信波长组合，如 T*1550nm/R*1310nm 或类似的常用波长对，保证信号的稳定传输。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3.光电性能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发射功率：发射功率范围在-10 ~ 1dB 之间，以适应不同的光纤传输环境和设备要求。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接收灵敏度：接收灵敏度不高于 -19dB，确保能够有效接收并处理较弱的光信号。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4.安装与环境适应性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安装方式：支持DIN卡轨安装，方便设备的安装和固定，也可兼容其他常见的安装方式，增加安装的灵活性。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操作温度：操作温度范围为 -30 ~ 70</w:t>
            </w:r>
            <w:r>
              <w:rPr>
                <w:rFonts w:ascii="Malgun Gothic Semilight" w:hAnsi="Malgun Gothic Semilight" w:eastAsia="Malgun Gothic Semilight" w:cs="Malgun Gothic Semilight"/>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C，能够适应较为宽泛的工作环境温度变化。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5.防护性能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浪涌防护：具备不低于 4KV 的浪涌防护能力，有效保护设备免受浪涌冲击的损害。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防护等级：防护等级达到IP40或以上，防止外物侵入，保障设备在正常使用环境下的可靠性。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29B168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E53D6D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9C360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1034</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958DB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2068</w:t>
            </w:r>
          </w:p>
        </w:tc>
      </w:tr>
      <w:tr w14:paraId="19D23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41143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BA27A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9FD4BD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处理器：配置≥1颗高性能多核处理器，核心数≥14核，基础频率≥2.5GHz，末级缓存≥24MB，满足监控系统多任务并行处理需求；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内存：配置≥8GB DDR4规格内存，支持内存容量扩展，适配监控软件运行需求；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硬盘：配置≥1TB固态硬盘，保障系统及监控数据快速读写与存储安全；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显卡：配置独立显卡，显存容量≥2GB，支持监控画面高清显示及多画面分割展示；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键鼠：配备有线USB接口键盘和鼠标，按键响应灵敏，满足监控操作便捷性需求；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显示器：配置≥21.45英寸宽屏液晶显示器，分辨率≥1920×1080，显示清晰、色彩还原准确，与控制主机兼容适配，保障监控画面正常呈现；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质保：提供整机原厂免费质保服务，质保期限≥3年，质保期内包含免费维修、零部件更换及技术支持服务。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支持与现有监控平台、解码器、存储设备等通过标准协议兼容对接，无适配冲突；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主机具备良好的散热性能，支持长时间稳定运行，适配监控系统24小时工作需求；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32AF0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C4173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5B1EA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2B36F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r>
      <w:tr w14:paraId="3CDB0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70424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E5715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显示设备</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92F6A1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1.≥55寸，4K高清屏幕；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2.屏幕比例：16:9；</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3.内存：≥2+32GB;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4.接口：HDMI、USB;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5.无线配置：wifi；</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6.分辨率：3840*2160。</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14854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4FB38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9F6473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2892E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8400</w:t>
            </w:r>
          </w:p>
        </w:tc>
      </w:tr>
      <w:tr w14:paraId="67DCF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289BD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FC46D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12A445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1.≥50kg承重；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2.拉绳锁扣；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3.材质：冷轧钢；</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7AC40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80C12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33A42A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566CB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r>
      <w:tr w14:paraId="05C77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05BB5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8EAC5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2FB308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1F8648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5F5BB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5233B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010C4D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26000</w:t>
            </w:r>
          </w:p>
        </w:tc>
      </w:tr>
      <w:tr w14:paraId="5201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D6DC4D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7ECD5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4DDFA3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1.类别：六类水晶头；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2.数量：每盒 100 个。</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CEB3C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090CAA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05974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A62ABE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r>
      <w:tr w14:paraId="7F90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9B17E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27D41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PDU</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E87A34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线长： 1800mm；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多少孔：8 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输入插头： 10A 插孔。</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FADB2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8D40B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2237AB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60EB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890</w:t>
            </w:r>
          </w:p>
        </w:tc>
      </w:tr>
      <w:tr w14:paraId="33DFE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5CDA3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6975E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D9A72B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2.厚度：架体 1.2mm 、盖板 1.0mm；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3.安装方式：机架式安装；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4.颜色：黑色；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5.高度： 1U。</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0695CA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AFD9F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291019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3F429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390</w:t>
            </w:r>
          </w:p>
        </w:tc>
      </w:tr>
      <w:tr w14:paraId="72F0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EC63C5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5445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0FBEF8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3*2.5 平方多股护套线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A99DD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E94C4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587C6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495B2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2EBE4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8EB206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FCF81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E0AC22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1.HDMI 10m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2.线缆类型（音视频线）：铜缆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3.视频版本：HDMI 1.4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4.支持最大分辨率：4K 30Hz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5.接口类型：HDMI</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CA64A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EEC55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25569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76D51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495</w:t>
            </w:r>
          </w:p>
        </w:tc>
      </w:tr>
      <w:tr w14:paraId="06375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F2A5D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BBA43B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7E2176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显示配置：配备17.3英寸电容触摸屏，操作灵敏精准；</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显示分辨率：屏幕分辨率≥1920(H)×1080(V)，画面清晰细腻；</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屏幕亮度：亮度≥300cd/m²，适应不同光线环境下使用；</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可视角度：上下左右可视角度分别≥80°/80°/85°/85°，观看范围广；</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触控性能：支持十点触控式操作，满足多指协同控制需求；</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核心处理器：配备≥8核8线程高性能处理器，主频≥2.7GHz，保障多任务高效运行；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内存配置：标配≥1×8G DDR4台式机内存，支持内存扩展；</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网络接口：配备≥2个千兆RJ45以太网接口，支持网络冗余与高速数据传输；</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存储配置：标配≥1×256G M.2固态硬盘，支持扩展1个2.5英寸或1个3.5英寸硬盘，满足录音存储扩容需求；</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I/O接口配置</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视频接口：≥1个VGA接口、≥1个DVI接口；</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串行接口：≥6个COM RS232接口，其中至少2个接口支持RS232/RS485模式切换；</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USB接口：≥4个USB2.0接口、≥4个USB3.0接口；</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其他接口：≥1个PS/2接口、≥1个MIC IN接口、≥1个LINE OUT接口、≥1个LINE IN接口、≥1个TRIGGER INPUT接口，满足多设备连接需求。</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工作环境：工作温度0℃-50℃，相对湿度5%～95%（非凝结状态），适应机房及办公环境；</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存储环境：存储温度-10℃-60℃，相对湿度5%～95%（非凝结状态），便于设备存放与运输；</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供电方式：支持AC 100-240V宽电压输入，配备≥300W稳定电源，适配校园供电环境；</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安装方式：支持上架式或桌面式两种安装方式，部署灵活；</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操作系统：预装正版国产操作系统，兼容主流教育类控制软件，支持系统安全更新；</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CEF22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CED091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FC498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9865B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16000</w:t>
            </w:r>
          </w:p>
        </w:tc>
      </w:tr>
      <w:tr w14:paraId="45BFC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7F13F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9CD3D7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数字化网络广播系统服务平台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BC0321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一、核心管理功能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终端统一管理：支持对系统内语音播控台、对讲终端、广播终端、消防接口设备等所有音频终端进行集中管理，实时显示各终端IP地址、在线状态、任务状态、音量等运行参数，实现终端状态可视化监控。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基础运行支撑：采用企业级标准服务器工作模式，后台系统服务开机自动运行，稳定性与可靠性优异；负责音频流传输管理，响应各终端播放请求及音频全双工交换，支撑全系统高效协同运行。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架构与访问：支持B/S架构，用户通过网页登录即可完成终端管理、用户管理、节目播放管理、音频文件管理、录音存储、内部通讯调度等全功能操作，无需安装专用客户端。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二、音频处理与通讯功能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混音与音效控制：具备数字混音功能，支持任务自定义混音配置，可对广播、对讲、终端点播等各类任务设置专属混音参数；支持麦克风前景音与背景音独立配置，允许调节背景音音量强度，优化听觉体验。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全双工语音交换：提供全双工语音数据交换能力，响应各对讲终端呼叫及通话请求，支持一键呼叫、一键对讲、一键求助、一键报警等快捷通话模式；支持自动接听、手动接听两种方式，可自定义接听提示音。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均衡器调节：后台支持对各终端进行10段均衡器调节，调节参数可保存为模板以便快速调用，且模板可应用于其他终端，提升批量配置效率。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音频采集与播放：支持本地音频采集功能，可将采集的音频信号播放至任意指定终端；支持终端音频采播功能，满足听力考试语音文件采播需求。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三、节目与任务管理功能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节目库管理：集中管理节目库资源，为所有音频终端提供定时播放和实时点播媒体服务；支持MP3、WAV、FLAC、OGG、AAC、OPUS等主流音频格式文件上传、转码、试听及共享下载，支持媒体文件分类分用户管理，可配置公有/私有文件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定时任务管理：支持编程多套定时方案，可选择任意终端、设置任意时间执行定时任务；支持定时任务执行测试、重复周期设置及多种音源选择（音乐播放、声卡采集、终端采集）；支持批量修改定时任务的时间、音量、执行终端，及定时任务批量导入导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定时打铃功能：支持多套定时打铃方案同时启用，每套方案可承载多套任务；具备离线定时打铃功能，终端断网断电时仍能自动执行打铃任务；支持定时打铃任务克隆、执行控制、禁用启用，及一键调课、批量修改铃声等快捷操作，支持时/日/周/月/年多种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特殊任务功能：支持定时插播模式，可设置执行时间范围、间隔时间，批量自动生成打铃任务；支持定时巡更功能，可自定义巡更任务执行时间、重复周期及指示灯闪烁间隔（0-30s）；支持听书模式，可设置循环/随机播放，具备播放进度记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四、用户与权限管理功能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用户管理：支持新建用户及权限配置（终端权限、分组权限），支持高级任务优先级和角色权限分配，可禁用/启用用户及账号代管操作；支持多用户、多级别、指定权限/功能/终端的分类管理及任意级别分控管理，实现远程节目播放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登录安全：提供账户密码、PIN码、图案密码等多种登录方式；可设置登录错误次数限制及自定义锁定时间，保障系统安全。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优先级管理：支持4×100级自定义配置任务优先级（服务器、任务、用户、终端优先级），满足各类优先级任务自动调度需求；支持任务优先级、终端优先级、用户优先级自定义及轻松自动授权。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资源共享：支持自定义共享权限，可共享分组管理、定时打铃、定时任务、一键报警任务、云播音室、媒体库等资源，具备权限的用户可进行编辑协作。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五、终端管理与监控功能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终端配置：支持终端自定义区域划分及分区域管理，实现任意分区播放与讲话；支持统一管理终端登录密码，及终端外控电源定时打开、延时关闭控制；支持终端时间显示配置（1-6级亮度调节、断网后时间显示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状态监控：支持终端上/下线状态、占用状态实时监控，可实时管理终端音量和当前任务；具备电子地图、在线地图及GIS地图功能，可在地图上部署终端、查看终端实时状态及一键广播；支持终端异常断电/断网监测，后台实时显示异常状态及设备运行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远程运维：支持终端远程固件升级，无需现场操作；具备一键巡检功能，可拾取现场音箱声音状态回传系统，通过音频相似度（DTW）检测技术自动比对播放数据与回传数据并输出报告；支持终端列表导入/导出、音量批量编辑及终端自动上线、手动添加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终端控制：支持设置终端不同灯光模式，可自定义红/绿/蓝灯亮灭时间（0-10S）；支持终端短路输入联动触发，可设置短路输出、音乐播放、巡更警报等联动方案；支持终端防拆报警，拆卸时触发警报或联动其他终端报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六、安全与应急功能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消防联动：支持全区、分区消防联动及消防N±N模式，支持人工报警与数字报警；支持配置报警器触发终端采集任务及自动解除报警功能。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考试模式：支持配置指定终端在指定时间段启用考试模式，模式下数模备份可相互切换，支持一键结束所有设备考试模式；具备终端冻结功能，可设置冻结时间，冻结期间禁止终端执行任务；断网断电时，听力备份切换延时＜0.03秒，实现无卡顿、无丢字播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网络抗丢包：采用数据冗余编解码算法，支持37.5%以上丢包率环境下音频播放无卡顿，保障网络不稳定时音频传输的稳定性与流畅性。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监控联动：支持接入6路视频监控信号，实时查看与设备绑定的监控点画面；具备移动侦测、越界侦测等多种监控功能，可自动触发预设音频报警，实现音视频联动告警。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七、系统配置与扩展功能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系统部署：支持部署于Linux操作系统及银河麒麟、统信等国产操作系统，与国产桌面操作系统完成兼容性测试，满足通用兼容性、性能及可靠性要求。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网络兼容：兼容路由器、交换机、网桥网关、Modem、Internet、3G/4G/5G等多种网络结构，适应校园复杂网络环境。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功能扩展：支持扩展电话广播功能，通过IP网络电话接口接入外线电话或程控交换机，实现电话发起全区/分区广播、终端对讲；内置TTS文本转语音功能，支持1-10级语速调节、循环次数设置及语音包选择。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系统监测：具备系统状态（可用硬盘、内存剩余等）和终端状态（CPU、内存、网络丢包率等）检测功能，支持一键导出检测报告。</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八、日志与数据管理功能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录音存储：支持广播、对讲、实时采集、终端监听等场景的录音功能，实现录音数据长期存储与管理；支持录音文件加密存储与访问权限控制，具备数据备份与恢复功能。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日志记录：实时记录系统运行及终端工作状态，每次呼叫、通话、广播操作均有详细日志，便于追溯与审计。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数据导出：支持终端明细、定时打铃方案、系统检测报告等数据表格化导出，为系统管理提供便利。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九、交互与个性化功能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界面自定义：支持后台换肤、功能模块自定义及首页入口自由配置；可自定义界面模式（经典模式、简约模式）及大数据面板展示标语（静态/动态形式）。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多语言支持：具备多语言一键切换功能，支持中文简体/繁体、英文、韩语等八种语言，适应多样化使用需求。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辅助功能：具备系统小助手功能，提供操作手册、任务提醒等快捷查看服务；支持节假日图文推送及设备图文展示自定义功能。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遥控配置：支持查阅遥控器列表及任务，可配置20个按键任务，包括任务音量、优先级、混音配置及话筒/音乐等播放音源选择。</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0DBEF1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426628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604C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8C697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7000</w:t>
            </w:r>
          </w:p>
        </w:tc>
      </w:tr>
      <w:tr w14:paraId="0C786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8012D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28B819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寻呼话筒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40E8EE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1.网络接口：标准RJ45×2输入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4.采样率：8kHz-48kHz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7.显示屏尺寸：10.1英寸</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8.屏幕分辨率：1024x600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9.屏幕类型：IPS显示屏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10.键盘类型：虚拟QWERTY键盘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11.键盘输入方式：触控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12.本地喇叭输出功率：8W(MAX)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13.总谐波失真：≤1%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14.频率响应：80Hz-16kHz(+1dB/-3dB)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15.信噪比：≥65dB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16.PHONE OUT输出阻抗及最大功率：32Ω，40mW（MAX)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17.LINE OUT输出电平：1000mV 工业标准压线接线端子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18.LINE OUT输出阻抗：470Ω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19.LINE IN输入灵敏度：350mV 工业标准压线接线端子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20.MIC输入灵敏度（非平衡）：120mV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21.USB接口：USB2.0速率/480Mbps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22.短路输入：干接点输入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23.短路输出：最大1A/30VDC干接点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24.工作温度：5℃～40℃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25.工作湿度：20%～80%相对湿度，无结露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26.整机功耗：≤12W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27.输入电源：DC12V/1.5A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28.桌面式设计，自带10.1英寸高清IPS屏幕，分辨率为1024x600，支持触摸操控。支持进入休眠、低功耗省电模式，支持账号密码管理。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29.自带数字键，功能键界面。支持呼叫分区及多个分区、呼叫全区广播；支持直接操作呼叫或对讲任意终端；支持直接操作监听（环境监听）任意终端根据实际环境，监听距离达到5m。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30.具有自定义按钮，支持自定义音乐播放、对讲、广播功能；具有紧急报警按钮，支持一键报警广播功能。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31.内置2×3W（MAX）全频高保真扬声器单元，可对通话声音清晰还原，保证通话效果。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32.具有1路USB接口，支持本地音频文件自由点播播放，同时支持定制加密管理UKey功能。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33.具有1路3.5mm 耳机输出接口和1路3.5mm MIC输入接口，匹配市场上绝大多数的耳机和便携式麦克风。</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34.具有1路音频线路输出接口，可外扩功率放大器；具有1路音频线路输入接口，提供多音源传输。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35.具有1路报警触发短路输出接口，级联外扩警示设备或控制门禁；具有1路短路输入接口，可以用作触发预置语音提示（或报警），亦可用于控制门禁联动输入短路信号。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DE83C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CC41F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00BEF9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2988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FF9C3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2988</w:t>
            </w:r>
          </w:p>
        </w:tc>
      </w:tr>
      <w:tr w14:paraId="638C0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9F3AB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A29D67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IP网络音箱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4D65F05">
            <w:pPr>
              <w:bidi w:val="0"/>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6.采样率：8kHz-48kHz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7.辅助线路输入电平：350mV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8.频率响应：80Hz-16kHz (+1dB/-3dB)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9.谐波失真：≤1%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10.信噪比：≥70dB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11.输出功率：2×30W（MAX）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12.最大声压级：99dB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13.灵敏度：86dB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14.整机功耗：60W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15.短路输入：干接点输入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16.工作环境温度：5℃～40℃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17.工作环境湿度：20%～80%相对湿度，无结露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18.输入电源：~220V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19.主箱净重：2.48kg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20.副箱净重：2.4kg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21.尺寸（L×W×H）：≤165×140.2×305mm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22.具有1路线路（AUX）输入接口，支持网络音量调节，支持断网本地扩声功能，支持背景伴奏预置功能。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23.可扩展无线音频模块。</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24.具有1路短路输入接口，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25.主音箱内置2×30W（MAX）的双通道D类数字功率放大器，1路外接到副音箱。</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32AC5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09625F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01B30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E67C5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52359</w:t>
            </w:r>
          </w:p>
        </w:tc>
      </w:tr>
      <w:tr w14:paraId="6EDE6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4ECEB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DD727E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电源管理器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346A569">
            <w:pPr>
              <w:keepNext w:val="0"/>
              <w:keepLines w:val="0"/>
              <w:widowControl/>
              <w:suppressLineNumbers w:val="0"/>
              <w:spacing w:after="220" w:afterAutospacing="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1.额定输出电压：AC ~220V 50Hz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2.额定输出电流：30A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3.可控制电源：8路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4.每路动作延时时间：1秒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5.供电电源：VAC，220V 50/60Hz，30A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6.单路额定输出电源：2个16A，2个16A接线端子，4个10A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7.标准2U机箱设计。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8.8通道电源时序打开/关闭。</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9.远程控制（上电+24V直流信号）8通道电源时序打开/关闭—当电源开关处于off位置时有效。支持配置CH1和CH2通道为受控或不受控状态。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10.输入连接器：大功率线码式电源连接器。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11.输出连接器：2个16A，2个16A接线端子和4个10A电源插座。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12.USB输出接口，可以接LED灯。</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66EFBB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A12C8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C25B8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516A84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1300</w:t>
            </w:r>
          </w:p>
        </w:tc>
      </w:tr>
      <w:tr w14:paraId="46445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0C798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00FA9D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60C8F6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1.24U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2.尺寸（W×D×H）：</w:t>
            </w:r>
            <w:r>
              <w:rPr>
                <w:rFonts w:ascii="Arial" w:hAnsi="Arial" w:eastAsia="宋体" w:cs="Arial"/>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600mm×600mm×1245mm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3.材质：冷轧钢板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70CDA3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07D1A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A42AD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B6E8C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1100</w:t>
            </w:r>
          </w:p>
        </w:tc>
      </w:tr>
      <w:tr w14:paraId="4FF46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085BB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DAC29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699978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1.额定功率（100V）：10W, 20W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2.额定功率（70V）：5W, 10W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3.灵敏度：89dB±3dB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4.阻抗：黑: COM；白: 1KΩ；绿: 500Ω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5.频率响应：150Hz-16kHz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6.尺寸：105×75×338mm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7.喇叭单元：2.5"×3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8.防护等级：IP66</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9.重量：1.7kg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10.内置高性能100V音频变压器。</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D3F505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5A589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9D049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F4C3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3600</w:t>
            </w:r>
          </w:p>
        </w:tc>
      </w:tr>
      <w:tr w14:paraId="139CB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C60B5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33831D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IP网络功放终端</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335B7B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1.网络接口：标准RJ45×2输入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6.采样率：8kHz-48kHz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7.EMC报警输入电平：775mV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8.AUX线路输入电平：350mV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9.MIC输入电平：120mV（6.35mm单插头接口）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10.频率响应：80Hz-16kHz(+1/-3dB)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11.MIC频率响应：200Hz-10kHz(+1/-3dB)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12.LINE OUT 输出失真度：≤0.1%（MIC输入时≤0.3%）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13.功放谐波失真：≤1%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14.LINE OUT输出信噪比：≥73dB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15.功放信噪比：≥70dB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16.LINE OUT输出幅度：1000mV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17.功放保护电路：过载、短路保护电路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18.输出功率*：120W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19.LINE OUT输出阻抗：470Ω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20.485接口：有（RJ45端子）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21.整机功耗**：50W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22.100V定压输入备份：支持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23.短路输入：干接点输入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24.短路输出：干接点输出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25.工作环境温度：5℃～40℃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26.工作环境湿度：20%～80%相对湿度，无结露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27.输入电源：～220V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28.19英寸机柜式箱体设计。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29.面板自带3.9英寸TFT彩屏；具有自旋式飞梭旋钮。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30.面板具有3个自定义功能按键，可定义播放曲目、执行区域、任务音量、优先级、持续时间、播放模式，可实现一键触发报警功能或播放节假日温馨提醒音频功能。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31.具有1路USB接口、具有1路线路AUX输入接口，具有1路MIC输入接口。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32.具有1路LINE OUT线路输出接口。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33.具有1路短路输入接口。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34.具有1路短路输出接口，支持报警联动触发。</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6C0A8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2919EA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8735D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8FDE8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6300</w:t>
            </w:r>
          </w:p>
        </w:tc>
      </w:tr>
      <w:tr w14:paraId="47D22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D74E6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3D272D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A3849B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1.额定功率(100V)：120W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2.额定功率(70V)：60W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3.灵敏度：94dB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4.阻抗：黑: COM  白: 80Ω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5.频率响应：110Hz-15kHz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6.防护等级：IP66</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7.尺寸：240×190×920mm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8.采用4只6.5寸全频喇叭单元和1只3寸高音；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9.内置高性能100V音频变压器；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10.标配支架；</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CFCE1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FAB846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F949B2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68AAB1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6860</w:t>
            </w:r>
          </w:p>
        </w:tc>
      </w:tr>
      <w:tr w14:paraId="4C0D7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A62A47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2C2F66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纯后级功放</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86A61D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额定输出功率：额定输出功率≥1500W，满足校园大空间扩声功率需求；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扬声器适配：支持4-16Ω阻抗扬声器及100V定压输出，适配主流广播音箱；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输入参数：输入灵敏度775mV，输入阻抗10KΩ，配备平衡XLR/TRS接口，连接稳定可靠；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输出参数：输出灵敏度775mV，输出源阻抗470Ω，配备平衡XLR接口，保障信号传输质量；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频率响应：频率响应范围80Hz~16kHz，频率响应偏差+1dB、-3dB，覆盖人声及常用音乐频段；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信噪比：信噪比＞90dB，有效降低环境噪声干扰，音质清晰纯净；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失真控制：1kHz、1/3输出功率条件下，总谐波失真≤0.5%，确保音频高保真输出；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散热系统：采用由前往后强制风冷设计，散热器温度达到45℃时内置风扇自动启动，保障设备稳定散热；</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智能保护：具备过温、过压、欠压、过流、短路多重智能检测保护系统；内置智能削顶失真和过流压限系统，有效保护扬声器单元免受损坏；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电源配置：支持AC 220V/50Hz标准供电，内置PFC电路，提升电源利用率；具备开关机自动软启动控制功能，避免瞬间电流冲击；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功耗控制：整机功耗≤300W，节能环保；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兼容性：支持与校园现有调音台、音频处理器、专业音箱等设备通过标准接口兼容对接，无需额外转接；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机械结构：机箱采用金属材质，结构牢固，具备良好电磁屏蔽性能；面板配备电源指示灯、工作状态指示灯及故障告警指示灯，状态直观；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D215B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93A27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B552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203EE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5400</w:t>
            </w:r>
          </w:p>
        </w:tc>
      </w:tr>
      <w:tr w14:paraId="486B7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E4804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6EC362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IP终端</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BD9344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1.网络接口：标准RJ45×2输入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6.EMC输入灵敏度：775mV (非平衡） RCA端子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7.AUX输入灵敏度：350mV (非平衡） RCA端子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8.MIC输入灵敏度：120mV (非平衡） 6.35mm端子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9.频率响应：80Hz-16kHz (+1dB/-3dB)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10.谐波失真：≤0.1%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11.信噪比：≥78dB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12.LINE OUT输出幅度：1000mV RCA端子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13.485接口：有（RJ45端子）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14.整机功耗：≤2000W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15.工作环境温度：5℃～40℃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16.工作环境湿度：20%～80%相对湿度，无结露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17.输入电源：~220V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18.输出电源：~220V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19.面板自带3.9英寸TFT彩屏，；自旋式飞梭旋钮，可控制终端输出音量大小。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20.面板具有3个自定义功能按键，可定义播放曲目、执行区域、任务音量、优先级、持续时间、播放模式，可实现一键触发报警功能或播放节假日温馨提醒音频功能。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21.具备电源开关和电源指示灯、具有1路USB接口、具有1组EMC输入接口、具有1组线路（AUX）和1路话筒（MIC）输入接口、具有2组音频信号辅助输出接口、具有1路RS-485控制接口。</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9D5AEB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B68FE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06D70D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85EC5A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6DC58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D1B91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88DCAA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前置放大器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B8ABB3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1.话筒2-5的输入灵敏度：MIC:5mV/60mV切换（600Ω非平衡）；线路2、3、4 RCA:350mV/2V切换（10KΩ非平衡）；线路5 RCA:350mV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2.话筒1输入灵敏度：MIC:5~150mV/600Ω非平衡；线路RCA:15~600MV/10KΩ非平衡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3.辅助1-3输入灵敏度：AUX1、2、3:350mV/10KΩ非平衡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4.EMC1-2输入灵敏度：MIC:5mV～25mV/600Ω非平衡；线路RAC:200mV～1000mV/10KΩ非平衡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5.频率响应：20Hz-20kHz(±3dB)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6.信噪比：MIC输入:64dB；AUX输入:80dB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7.音调调节：低音:100Hz（±10dB）；高音:10kHz（±10dB）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9.电源功耗：≤10W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10.标准机柜式设计（2U）。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11.具有5路话筒（MIC）输入接口、3路标准信号线路（AUX）输入接口、2路紧急线路（EMC）输入接口。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12.MIC1、2、3、4、5和2路紧急输入（EMC）通道均附设有线路辅助输入接口功能。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13.MIC1、2、3、4和AUX1、2、3可交叉混合输出；其中MIC1灵敏度可根据项目现场应用通过电位器灵活调节。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14.话筒（MIC）输入通道和线路（AUX）输入通道均可独立调校音量，并设有总音量控制旋钮。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15.设有高音（TREBLE）和低音（BASS）独立调节。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16.具有默音深度调节旋钮和EMC输入增益调节旋钮。</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B0EF4C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C889F2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C7018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8870F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1359</w:t>
            </w:r>
          </w:p>
        </w:tc>
      </w:tr>
      <w:tr w14:paraId="4B74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C122D0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587BFE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22D919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1.频率范围：470MHz-510MHz、540MHz-590MHz、640MHz-690MHz、807MHz-830MHz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2.调制方式：pi/4-DQPSK</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3.频率响应：20Hz~20kHz （±3dB）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4.信噪比：≥105dB（XLR）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5.THD+N：＜0.1%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6.工作距离：约80m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1.显示屏：TFT-LCD屏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2.显示屏分辨率：240×320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3.失真度：＜0.05%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4.天线接口：BNC/50Ω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5.接收灵敏度：＜-95dBm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6.最大输出：平衡输出500mV，非平衡输出1000mV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7.电源：DC 12V/1A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8.工作电流：≤320mA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9.体积(L×W×H)：≤443×212×44mm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10.重量：2.225kg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1.显示屏：OLED屏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2.显示屏分辨率：128×64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3.音头：动圈式麦克风（双手持话筒）</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4.输出功率：≥10dBm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5.工作电流：≤200mA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6.电池：2×1.5V(AA)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7.电池使用时长：＞10H</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8.体积(包括话筒头)：≤245mm×39mm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9.重量：0.4kg(含电池)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1.具有音频加密功能。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2.具有多频段均衡调节功能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3.具有自动静音功能。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4.具有自动频率扫描功能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5.具有通过红外扫描和同步，将发射机与接收机轻松配对。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6.具有多档位混响调节功能，混响效果15625个，效果占比、回响延时、混响幅度调节，三种音效各具有25档调节方式。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7.接收机具有两路平衡输出、一路非平衡混音输出，满足用户不同需求。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接收机前面板具有2个显示屏、2个编码旋钮、2个频率扫描实体按键、2个红外对频实体按键、1个电源开关按键、1个二合一指示灯（红外发射管+对频指示灯）；后面板具有1个LINE-OUT接口、2个XLR-OUT接口、2个BNC接口、1个DC接口。发射机具有1个OLED显示屏、1个开关机/静音按键、2个工作状态指示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接收机具有2个2.2英寸的TFT-LCD显示屏,用户可通过显示屏查看设备射频信号强度、音频信号强度、麦克风开启状态、手持麦克风电池电量情况、当前频率数值、音量大小、语言切换选项等，可轻松获取设备当前信息。</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8C397A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E2AE54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13885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5AE31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3300</w:t>
            </w:r>
          </w:p>
        </w:tc>
      </w:tr>
      <w:tr w14:paraId="0094A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0442F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EAA3B8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话筒天线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AFAA9D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1.供电电压：DC 8～12V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2.频率范围：470～950MHz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3.最大增益：7.5dBi</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4.电压驻波比：≤2.0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5.极化方式：线极化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6.输入阻抗：50Ω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7.接头型号：BNC 母头母针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8.工作温度：-18～+63℃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9.放大器OIP3：＞38dBm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10.指向性：90°指向</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78EAD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77332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7AF3A2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97267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3600</w:t>
            </w:r>
          </w:p>
        </w:tc>
      </w:tr>
      <w:tr w14:paraId="73BE8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B65858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28AABD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天线耦合器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3F8B3C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1.频率范围：470MHZ-950MHZ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2.插入损耗：≤-7</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3.隔离度：≥15dB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4.特性阻抗：50Ω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5.端口类型：BNC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6.可使用多组耦合器进行拓展覆盖区域。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7.耦合器在线路中有隔离杂讯的功能，防止自激。</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3DD434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F037C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0E629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A6C50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r>
      <w:tr w14:paraId="71373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117CC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E64E1E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天线放大器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D85FFC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 ：470MHZ-950MHZ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2.噪声：≤2dB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3.电压驻波比：输入小于3:1；输出小于3:1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4.端子 ：BNC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5.供电：12V DC/1A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6.增益：20dB</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8BDF01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D1F546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61354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A137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t>
            </w:r>
          </w:p>
        </w:tc>
      </w:tr>
      <w:tr w14:paraId="0B7E8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1DE37E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1D37D9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991D27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1.16口千兆非网管交换机，千兆电口数≥16个，千兆SFP光口≥2个；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2.交换性能≥192Gbps，包转发率≥40Mpps；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3.工作温度：0°C～40°C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4.存储温度：-10°C～70°C；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5.相对湿度：5%～90% RH 无凝结；</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8FA560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65BDE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8881C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AC4A09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1798</w:t>
            </w:r>
          </w:p>
        </w:tc>
      </w:tr>
      <w:tr w14:paraId="572B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BED722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E58CA4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80BE24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2.尺寸（W×D×H）：</w:t>
            </w:r>
            <w:r>
              <w:rPr>
                <w:rFonts w:ascii="Arial" w:hAnsi="Arial" w:eastAsia="宋体" w:cs="Arial"/>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550mm×450mm×600mm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3.材料：冷轧钢板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8323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3CC9E7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9E2D7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C9D4FF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3596</w:t>
            </w:r>
          </w:p>
        </w:tc>
      </w:tr>
      <w:tr w14:paraId="26D99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6157C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B22D96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AA8594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1.8米音频连接线：莲花（RCA）*2,线径：0.3mm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05269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EB3AC7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7CB91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87C3BC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w:t>
            </w:r>
          </w:p>
        </w:tc>
      </w:tr>
      <w:tr w14:paraId="112AB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72EDD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8A11FB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5CAC0B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1.8米音频连接线：莲花（RCA）*1，6.35话筒插头*1，线径：0.3mm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0C4EA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05612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AF329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A6CFD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w:t>
            </w:r>
          </w:p>
        </w:tc>
      </w:tr>
      <w:tr w14:paraId="6F77D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4D6B5C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074C56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46CAEA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1.8米音频连接线：6.35话筒插头*2，线径：0.3mm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84CE5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A915B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320DB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21405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r>
      <w:tr w14:paraId="428D5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86538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3DC680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525E9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1.8米音频连接线：3.5（耳机插头）*1,双莲花（RCA）*1,线径：0.3mm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4481D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5A66B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CF0D93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357BF3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r>
      <w:tr w14:paraId="54617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5EE58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78D58E5">
            <w:pPr>
              <w:keepNext w:val="0"/>
              <w:keepLines w:val="0"/>
              <w:widowControl/>
              <w:suppressLineNumbers w:val="0"/>
              <w:jc w:val="left"/>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8B2AB49">
            <w:pPr>
              <w:keepNext w:val="0"/>
              <w:keepLines w:val="0"/>
              <w:widowControl/>
              <w:suppressLineNumbers w:val="0"/>
              <w:jc w:val="left"/>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1.六类网线水晶头</w:t>
            </w:r>
            <w:r>
              <w:rPr>
                <w:rFonts w:ascii="宋体" w:hAnsi="宋体" w:eastAsia="宋体" w:cs="宋体"/>
                <w:i w:val="0"/>
                <w:iCs w:val="0"/>
                <w:color w:val="auto"/>
                <w:kern w:val="0"/>
                <w:sz w:val="22"/>
                <w:szCs w:val="22"/>
                <w:u w:val="none"/>
                <w:lang w:val="en-US" w:eastAsia="zh-CN" w:bidi="ar"/>
              </w:rPr>
              <w:br w:type="textWrapping"/>
            </w:r>
            <w:r>
              <w:rPr>
                <w:rFonts w:ascii="宋体" w:hAnsi="宋体" w:eastAsia="宋体" w:cs="宋体"/>
                <w:i w:val="0"/>
                <w:iCs w:val="0"/>
                <w:color w:val="auto"/>
                <w:kern w:val="0"/>
                <w:sz w:val="22"/>
                <w:szCs w:val="22"/>
                <w:u w:val="none"/>
                <w:lang w:val="en-US" w:eastAsia="zh-CN" w:bidi="ar"/>
              </w:rPr>
              <w:t>2.100个一盒</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89DB41C">
            <w:pPr>
              <w:keepNext w:val="0"/>
              <w:keepLines w:val="0"/>
              <w:widowControl/>
              <w:suppressLineNumbers w:val="0"/>
              <w:jc w:val="center"/>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A5585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6378A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F2943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r>
      <w:tr w14:paraId="7EBC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96685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6CBFE4B">
            <w:pPr>
              <w:keepNext w:val="0"/>
              <w:keepLines w:val="0"/>
              <w:widowControl/>
              <w:suppressLineNumbers w:val="0"/>
              <w:jc w:val="left"/>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CD6B04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414D851">
            <w:pPr>
              <w:keepNext w:val="0"/>
              <w:keepLines w:val="0"/>
              <w:widowControl/>
              <w:suppressLineNumbers w:val="0"/>
              <w:jc w:val="center"/>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C2D3F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BA5A4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4A58BA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1300</w:t>
            </w:r>
          </w:p>
        </w:tc>
      </w:tr>
      <w:tr w14:paraId="262C4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4FB32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7CA62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室内广播线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503176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铜芯护套线RVV2*1.5</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673B59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D59CA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C508F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D6310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15000</w:t>
            </w:r>
          </w:p>
        </w:tc>
      </w:tr>
      <w:tr w14:paraId="508DE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9C5F06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450D7D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28D5B5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铜芯护套线RVV3*1.5</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53CC1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605D38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D5AA1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09DCD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w:t>
            </w:r>
          </w:p>
        </w:tc>
      </w:tr>
      <w:tr w14:paraId="01A68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FC648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14B8C5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50-5同轴线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4D3243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直径7.2,mm馈线50-5-1</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EFC3C9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33CA0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25785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9FC27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w:t>
            </w:r>
          </w:p>
        </w:tc>
      </w:tr>
      <w:tr w14:paraId="18138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5C5114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36BEED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PVC管</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4A0F84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1.白色线管；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2.A管DN25；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3.厚度：≥1.8mm；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1C977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569264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CA20C6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14AF7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14:paraId="10790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1BCBF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BA920C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DC7929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单元配置：配备1只12英寸防水低音喇叭单元、1只1.7英寸环形聚乙烯振膜压缩高音单元，双重防水设计保障户外使用可靠性；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箱体结构：采用≥15mm厚度优质夹板制作，外表面经专业防水漆处理；配备铁质防护网罩，网罩内贴防尘网棉，防尘防水性能优异；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阻抗匹配：标称阻抗8Ω，符合主流专业功放设备阻抗匹配标准，确保功率传输稳定；</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频率响应：频率响应范围55Hz-20KHz，覆盖人声及音乐全频段，低音浑厚、高音清晰；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功率指标：额定功率≥400W，峰值功率≥1600W，支持户外大空间高音量稳定输出，无失真；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灵敏度：灵敏度≥99dB/W/M，输入功率利用率高，小功率输入即可实现远距离清晰扩声；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声压性能：最大声压级（额定/峰值）≥126dB/132dB，满足户外嘈杂环境下听音需求；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覆盖范围：水平（H）覆盖角度≥100°，垂直（V）覆盖角度≥80°，扩声覆盖面积广，适配户外开阔场地；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连接接口：≥1个四芯插座接口；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机械性能：箱体结构牢固，抗冲击、抗老化，可适应户外不同气候条件；网罩经过防锈处理，长期户外使用不易锈蚀；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兼容性：支持与主流品牌专业功放、调音台、音频处理器等设备通过标准接口兼容对接，即插即用；</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7B825E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1F50F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5CC76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1C4F04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45592</w:t>
            </w:r>
          </w:p>
        </w:tc>
      </w:tr>
      <w:tr w14:paraId="27B55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B0174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2DAAF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专业功放</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8F787A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输出功率：支持多模式功率输出，立体声@8Ω时≥700W×2，立体声@4Ω时≥1000W×2，桥接@16Ω时≥1400W，桥接@8Ω时≥2000W，满足不同场景扩声需求；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输入参数：输入灵敏度支持2.2dBu(1V)、8.2dBu(2V)两档调节，输入阻抗≥10KΩ，适配不同音频信号源；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频率响应：在1W功率、8Ω负载条件下，频率响应范围20Hz-20KHz，响应偏差±1dB，覆盖人声及音乐全频段；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失真控制：在1/8功率输出条件下，总谐波失真+噪声（THD+N）≤0.01%，确保音频高保真传输；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分离度：1KHz频率下，声道分离度≥80dB，有效减少声道间信号串扰；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阻尼系数：1KHz频率、8Ω负载条件下，阻尼系数≥200，提升扬声器控制精度，优化低频表现；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信噪比：A计权信噪比≥102dB，大幅降低环境噪声干扰，音质清晰纯净；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供电规格：支持AC 220V/50Hz标准供电，适配校园供电环境；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功耗控制：整机功耗≤450W，能效比高，节能环保；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结构设计：采用1U机柜式设计，体积小巧、重量轻便，可嵌入标准19英寸机柜安装，节省空间；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智能保护：集成过压、欠压、过流、直流、输出短路等多重保护功能，保障设备及扬声器安全；配备温控风扇，根据设备温度自动调节转速，兼顾散热与静音；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接口配置：配备平衡XLR/TRS输入接口及专业Speakon输出接口，连接牢固可靠，支持多台设备级联；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兼容性：支持与校园现有调音台、音频处理器、专业音箱等设备通过标准接口兼容对接，无需额外转接；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53832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AA5DC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2F19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08038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29995</w:t>
            </w:r>
          </w:p>
        </w:tc>
      </w:tr>
      <w:tr w14:paraId="3857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7CFE4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F3235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B117D4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阻抗：标称阻抗8Ω，适配主流专业功放设备，保障功率匹配稳定；</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频率响应：频率响应范围100Hz~20KHz，覆盖人声及常用音乐核心频段，音质均衡自然；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功率规格：额定功率≥400W，满足校园中大型场地扩声需求，支持大音量稳定输出；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灵敏度：灵敏度≥98dB（±3dB），输入较小功率即可实现清晰扩声，能效较高；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声压级：最大声压级≥124dB（±3dB），确保远距离听音清晰，无失真；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覆盖角度：水平（H）覆盖角度≥70°，垂直（V）覆盖角度≥70°，扩声覆盖范围集中，适配固定场地扩声；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单元配置：配备1只12英寸低音单元及1只44芯高音单元，高音单元内置过载保护器件，有效防止高音单元损坏；低音与高音均采用号角负载设计，提升声能利用率；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连接接口：配备2个4芯航空防水插座，接线标识为1+2-，连接牢固可靠，具备一定防水性能，适配多种使用环境；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箱体结构：采用高密度夹板制作，表面经耐磨防水涂层处理；配备金属防护网罩，内贴防尘棉，具备防尘、防冲击性能；箱体边角采用圆角设计，避免磕碰伤害；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兼容性：支持与主流品牌专业功放、调音台、音频处理器等设备通过标准接口兼容对接，无需额外转接配件；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声学性能：频响曲线平滑，相位失真小，人声还原度高，满足语言扩声及音乐播放双重需求；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F7F22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FCFC52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90416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C4B917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15000</w:t>
            </w:r>
          </w:p>
        </w:tc>
      </w:tr>
      <w:tr w14:paraId="332AA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BF5B25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BD8721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EBB4FA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1.频率范围：470MHz-510MHz、540MHz-590MHz、640MHz-690MHz、807MHz-830MHz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2.调制方式：pi/4-DQPSK</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3.频率响应：20Hz~20kHz （±3dB）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4.信噪比：≥105dB（XLR）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5.THD+N：＜0.1%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6.工作距离：约80m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1.显示屏：TFT-LCD屏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2.显示屏分辨率：240×320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3.失真度：＜0.05%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4.天线接口：BNC/50Ω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5.接收灵敏度：＜-95dBm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6.最大输出：平衡输出500mV，非平衡输出1000mV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7.电源：DC 12V/1A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8.工作电流：≤320mA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9.体积(L×W×H)：443×212×44mm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10.重量：2.225kg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1.显示屏：OLED屏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2.显示屏分辨率：128×64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3.音头：动圈式麦克风（双手持话筒）</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4.输出功率：≥10dBm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5.工作电流：≤200mA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6.电池：2×1.5V(AA)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7.电池使用时长：＞10H</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8.体积(包括话筒头)：245mm×39mm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9.重量：0.4kg(含电池)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1.具有音频加密功能。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2.具有多频段均衡调节功能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3.具有自动静音功能。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4.具有自动频率扫描功能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5.具有通过红外扫描和同步，将发射机与接收机轻松配对。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6.具有多档位混响调节功能，混响效果15625个，效果占比、回响延时、混响幅度调节，三种音效各具有25档调节方式。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7.接收机具有两路平衡输出、一路非平衡混音输出，满足用户不同需求。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接收机前面板具有2个显示屏、2个编码旋钮、2个频率扫描实体按键、2个红外对频实体按键、1个电源开关按键、1个二合一指示灯（红外发射管+对频指示灯）；后面板具有1个LINE-OUT接口、2个XLR-OUT接口、2个BNC接口、1个DC接口。发射机具有1个OLED显示屏、1个开关机/静音按键、2个工作状态指示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接收机具有2个2.2英寸的TFT-LCD显示屏,用户可通过显示屏查看设备射频信号强度、音频信号强度、麦克风开启状态、手持麦克风电池电量情况、当前频率数值、音量大小、语言切换选项等，可轻松获取设备当前信息。</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80CC99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F8635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28196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7B3830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7600</w:t>
            </w:r>
          </w:p>
        </w:tc>
      </w:tr>
      <w:tr w14:paraId="7D013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0DDE6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A5A81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0627DB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拾音配置：配备心型指向拾音头，拾音指向性精准，有效减少环境杂音干扰；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换能方式：采用双电容式换能技术，音质还原度高，人声表现清晰自然；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频率响应：频率响应范围30Hz-16kHz，覆盖人声及常用音频频段，满足语言扩声需求；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输出参数：平衡式输出阻抗75Ω，信号传输稳定，抗干扰能力优异；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灵敏度：灵敏度为-43dB±2dB，拾音灵敏度适中，适配不同音量发音需求；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供电方式：支持48V幻象供电，可与主流音频处理器、调音台等设备兼容供电；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调节功能：支持高度调节，调节范围0.1米~1.65米，适配不同身高使用者及使用场景；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产品重量：话筒整体重量11kg，结构稳固，放置平稳不易倾倒；</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连接配置：配备卡侬线作为咪线，连接接口牢固，接触良好，保障信号稳定传输；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底座规格：底座采用圆锥形设计，直径240mm，高度60mm，支撑稳定，占用空间小；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抗干扰性能：具备手机干扰、电磁干扰、高频干扰屏蔽功能，在复杂电磁环境下仍能保障音频信号纯净；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兼容性：支持与校园现有音频处理器、功放、调音台等设备通过标准接口兼容对接，无需额外转接；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A4662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7616C2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6795D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0CC37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6400</w:t>
            </w:r>
          </w:p>
        </w:tc>
      </w:tr>
      <w:tr w14:paraId="07121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69D51B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FF637E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C04B4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1.高度：980-1680mm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2.斜杠：550-900mm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3.重量：1.5kg</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6F689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AD4E7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98401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A4D499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r>
      <w:tr w14:paraId="731D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F28705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DB793A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话筒天线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431D66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1.供电电压：DC 8～12V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2.频率范围：470～950MHz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3.最大增益：7.5dBi</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4.电压驻波比：≤2.0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5.极化方式：线极化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6.输入阻抗：50Ω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7.接头型号：BNC 母头母针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8.工作温度：-18～+63℃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9.放大器OIP3：＞38dBm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10.指向性：90°指向</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52FC3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0BEEC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09278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C1962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278CD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363764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3896C0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天线分配器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A9CA3C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频率范围：支持470MHZ-950MHZ频段信号处理，适配主流无线音频传输设备；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总增益：总增益为0±2dB，保障信号分配过程中增益稳定，减少信号衰减；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阻抗匹配：输入与输出阻抗均为50Ω，符合行业通用阻抗标准，确保信号传输匹配性；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天线供电：支持12V天线供电，为有源天线提供稳定电源支持；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直流输出：配备4组12V DC直流输出接口，每组最大输出电流≥3A，接口中央点为正极，满足多设备供电需求；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电源输入：支持12V DC/3A电源输入，适配常规电源适配器；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连接端口：采用行业通用BNC连接器端口，保障连接可靠性与兼容性；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设备尺寸：设备尺寸（长×宽×高）为482.6×209.2×45mm，适配标准机柜安装；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设备重量：设备重量为2.25kg，便于安装与搬运；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信号输入：配备≥2个天线输入接口，支持稳定接收天线传输的射频信号；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信号处理：具备射频信号放大功能，提升信号强度与传输稳定性；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级联扩展：配备≥2个天线级联接口，支持分配器无限制级联扩展，满足多设备扩容需求；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供电支持：具备≥4个直流电源输出接口，可同时为4台接收机提供稳定供电；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兼容性：支持与主流品牌无线麦克风接收机、无线教学扩音设备通过标准BNC接口兼容对接；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1E2B7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79BE62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071488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3409A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1750</w:t>
            </w:r>
          </w:p>
        </w:tc>
      </w:tr>
      <w:tr w14:paraId="61FFE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4FA28B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2C867F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数字调音台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BFB9B0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输入接口：配备≥14个平衡XLR输入接口、≥16路TRS输入接口、≥1个OPTICAL接口、≥1个S/PDIF接口、≥1个USB2.0接口，满足多类型音频信号接入需求；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输出接口：配置≥1组立体声主输出L/R（XLR）、≥1路AES输出接口、≥6路BUS输出接口（XLR）、≥2路AUX输出接口（XLR），支持多场景音频输出；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底噪控制：底噪≤-90dBu（无记权，AP 515测试，AES17-20Khz标准），保障音频信号纯净度；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失真度：在4dBu、20～20Khz条件下，失真度≤0.005%，确保音频信号高保真传输；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信噪比：信噪比≥-108dB（无记权），降低环境噪声对音频信号的干扰；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动态范围：动态范围≥108dB，提升音频信号的层次感与表现力；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输入输出电平：最大平衡输入输出电平≥18dBu（6.2Vrms），适配不同强度音频信号；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频率响应：在20Hz~20KHz频率范围内，频率响应偏差≤±0.5dB，保障全频段音频均衡；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触控方式：采用电容触控技术，操作灵敏精准；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核心处理：配备高性能DSP处理器，主频≥400MHz，保障多通道音频实时处理能力；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USB功能：支持通过USB接口实现录音与播放功能，播放格式兼容APE、FLAC、MP3、WAV等常见音频格式；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DCA功能：支持DCA编组控制功能，便于多通道音频统一调控；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电动推子：配备电动推子数量≥13个，支持精准调节与自动复位；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移动控制：支持iPad等移动终端控制，实现全功能远程操作；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效果器配置：配备≥2个效果器母线，提供≥6个预置效果参数及≥24个用户存储位置，支持效果自定义；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反馈抑制：内置≥16个独立反馈抑制器，有效抑制音频啸叫；</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网络接口：配备≥1个100M以太网接口，支持网络连接与控制；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控制协议：支持RS-232协议及TCP/IP控制协议，便于与其他设备联动控制；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外设支持：支持有线USB鼠标接入，提升操作便捷性；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B5E59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84714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83B03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FD68F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14500</w:t>
            </w:r>
          </w:p>
        </w:tc>
      </w:tr>
      <w:tr w14:paraId="03953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35646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94A9ED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音频处理器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E84224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核心处理：支持48kHz采样频率，配备≥64bit高性能DSP处理器及≥32bit A/D、D/A转换器，保障音频处理精度与保真度；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幻象供电：支持DC 48V幻象供电，可为电容麦克风等设备提供稳定电源；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频率响应：20Hz～20KHz频率范围内，音频信号传输均衡，满足人耳可听频段需求；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失真控制：总谐波失真+噪声≤0.002%（输出18dBu/1kHz条件下），确保音频信号高保真输出；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信噪比：在1kHz、18dBu信号条件下（A计权），信噪比≥110dB，有效降低环境噪声干扰；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通道分离度：1kHz、18dBu信号条件下（A计权），通道分离度≥100dB，减少通道间信号串扰；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输入阻抗：平衡式输入阻抗≥20KΩ，适配不同类型音频信号源；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输出阻抗：平衡式最大输出阻抗≤100Ω，保障音频信号稳定传输；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输入范围：最大输入范围≤+18dBu，适配高幅值音频信号；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啸叫抑制：采用全自动式陷波技术，实现啸叫信号快速识别与精准抑制；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陷波器配置：配备≥24个陷波点，静态点与动态点可灵活配置，满足不同场景啸叫抑制需求；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Q值调节：支持Q值在10-50之间调节，适配不同带宽啸叫信号抑制；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频率分辨率：频率识别分辨率≤1Hz，保障啸叫频率精准定位；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响应速度：啸叫寻找时间为0.1—0.5S，实现快速响应与抑制；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分析精度：支持1024点FFT运算，提升频率分析精度；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传声增益：可提升传声增益4—10dB，增强音频传输效果；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系统增益：默认系统增益为0dB，支持按需调节；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分频器功能：内置高低通滤波器，支持巴特沃斯、贝塞尔、林克威治-瑞利三种滤波类型，满足多扬声器分频需求；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显示配置：配备≥2英寸IPS真彩显示屏，分辨率≥320*240，直观展示设备工作状态与参数；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供电范围：支持AC 180V-240V 50-60Hz宽电压输入，适配校园供电环境；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电源功耗：最大电源功耗≤40W，节能环保；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工作环境：工作温度-10℃～+45℃，相对湿度20%～80%（无结露），适应不同季节与环境使用；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散热方式：采用风机强制散热，保障设备高负载下稳定运行；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 矩阵功能：具备12进12出音频矩阵，支持信号自由路由分配；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 通道处理功能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输入通道：支持前级放大、信号发生器、扩展器、压缩器、均衡器（12段参量均衡，可选10/15/31段图示均衡器，图示均衡器支持单独带宽调节）、闪避器、AGC自动增益、AM自动混音（门限式、增益共享式）、AFC自适应反馈消除、AEC回声消除、ANC噪声消除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输出通道：支持均衡器（12段参量均衡，可选10/15/31段图示均衡器，图示均衡器支持单独带宽调节）、延时器、分频器、高低通滤波器、限幅器功能；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反馈抑制：基于啸叫检测门限更新法，具备移频+陷波组合抑制功能，24个陷波点可自由分配动态/静态属性，支持自动/手动模式切换。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 核心功能：集成闪避器、话筒自动增益、智能混音、均衡器、分频器、扩展器、压缩器、限幅器、延时器、回声消除、噪声消除、反馈抑制功能，支持恢复出厂设置；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 控制接口：配备RS-232接口、RS-485接口，支持与外部设备联动控制；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 参数管理：支持通道参数拷贝、粘贴及联控功能，提升操作效率；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 网络管理：配备Enternet多用途数据传输及控制端口，支持单台及多台设备实时管理；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 移动控制：支持通过安卓手机、平板APP进行设备操作，实现设备登录、场景切换、输入输出调节、矩阵路由配置及通道参数设置等功能；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 系统保护：具备断电自动保护记忆功能，确保断电后配置参数不丢失；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32. 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后面板：配备12路线路音频凤凰端子平衡输入接口（支持48V幻象供电）、12路线路音频凤凰端子平衡输出接口、1个拨码开关、1个RJ45接口、1个RS232接口、1个RS485接口、8个可编程GPIO控制接口、1个接地柱；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前面板：配备2.0英寸IPS真彩显示屏、1个编码旋钮、1个USB存储设备接口。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33. 集中控制：支持统一集中管理，通过软件可实现≥65535台设备的集中控制；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34. 增益调节：具备矩阵增益调节功能，每个输入通道混音增益调节范围为-72dB至12dB，支持精细化调节；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35. 本地操作：通过编码旋钮与IPS屏幕可实现设备静音、增益调节、场景切换等控制与配置操作，IPS屏幕可显示IP地址及输入输出通道实时电平；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36. 设备定位：支持设备定位功能，客户端可一键扫描并定位局域网内同类设备，被定位设备可显示定位信息；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37. 兼容性：支持与校园现有调音台、无线麦克风、功放、音箱等设备通过标准接口兼容对接；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5B6A0D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AFB2CD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5B56E6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7C4F4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19000</w:t>
            </w:r>
          </w:p>
        </w:tc>
      </w:tr>
      <w:tr w14:paraId="006CA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1D97D6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688AA7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抑制器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E84EA6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输入阻抗：平衡输入阻抗≥20KΩ；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输出阻抗：平衡输出阻抗≤100Ω；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输入范围：最大输入范围≤+20dBu，适配不同音频信号源；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频率响应：20Hz-20kHz频率范围内，频率响应偏差≤±0.5dB，保障音频信号完整还原；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信噪比：在1kHz、20dBu信号条件下（A计权），信噪比≥103dB，降低音频噪声干扰；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失真度：当输出为0dBu/1kHz时，总谐波失真度＜0.012%，确保音频信号保真度；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通道分离度：1kHz信号条件下，通道分离度＞82dB，减少通道间信号串扰；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啸叫寻找与抑制方式：采用全自动式陷波技术，可快速识别并抑制啸叫信号；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滤波器配置：每通道配备滤波器数量≥24个，支持精准啸叫抑制；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Q值范围：支持Q值在10-50之间调节，适配不同啸叫抑制场景；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频率分辨率：频率识别分辨率≤1Hz，保障啸叫频率精准定位；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啸叫寻找时间：啸叫信号识别时间为0.1—0.5S，实现快速响应；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FFT长度：支持1024点FFT运算，提升频率分析精度；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传声增益：可提升传声增益4—10dB，增强音频传输效果；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系统增益：默认系统增益为0dB，支持按需调节；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陷波器配置：双通道分别配备≥12个静态陷波点和≥12个动态陷波点，总计≥48个可编程陷波点；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分频器功能：内置高低通滤波器，支持巴特沃斯、贝塞尔、林克威治-瑞利三种滤波类型，满足不同音频分频需求；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均衡器功能：集成31段图示均衡器和8段参量均衡器，支持精细化音频调节；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显示配置：配备≥2英寸IPS真彩显示屏，分辨率≥320*240；配备≥48个陷波器状态LED指示灯，直观展示设备工作状态；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核心处理：采用≥40bit DSP处理器，支持48kHz采样频率，配备≥32bit A/D及D/A转换器，保障音频处理精度；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供电范围：支持AC 110V-240V 50-60Hz宽电压输入，适配不同供电环境；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反馈抑制技术：基于啸叫检测门限更新法，具备移频+陷波双重反馈抑制功能，提升啸叫抑制可靠性；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操作配置：配备编码旋钮及≥2.0英寸IPS显示屏，支持本地便捷操作；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 设备定位：支持设备定位功能，PC客户端可一键扫描并定位局域网内同类设备；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 集中控制：支持统一集中管理，通过软件可实现≥65535台设备的集中控制；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 数据同步：支持多客户端之间的设备配置数据同步，保障管理一致性；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 平台兼容：设备管理软件可融入主流会议音频综合管理平台，实现音频设备统一管控；平台可扫描数字会议主机、音频处理器、混音器、抑制器、功放等音频设备在线状态，对多台在线同类设备可分别识别，显示设备硬件名称、IP地址及在线/离线状态；具备配置信息一键上传云端或本地备份、一键还原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 音频功能：集成噪声门、限幅器、均衡器、分频器、自动增益（AGC）功能，满足多样化音频处理需求；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 场景切换：支持≥4个预设场景的快速切换，适配不同使用场景；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 系统保护：支持恢复出厂设置、设备定位功能，具备断电自动保护记忆功能，确保断电后配置不丢失；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 兼容性：支持与校园现有会议系统、音响设备、调音台等通过标准音频接口兼容对接；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96E6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89CAC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78A58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AE4544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3999</w:t>
            </w:r>
          </w:p>
        </w:tc>
      </w:tr>
      <w:tr w14:paraId="085AA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146B4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9E5E0A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电源管理器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C03A47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额定输出电压：AC 220V 50Hz，符合国内标准供电规范，保障设备稳定供电；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额定输出电流：≥30A，满足广播系统多设备同时运行的负载需求；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可控制电源：支持独立控制电源通道数≥8路，实现精细化电源管理；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每路动作延时时间：每路电源启停动作延时为1秒，实现时序启停，避免瞬间电流冲击损坏设备；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供电电源：输入电压AC 220V 50/60Hz，输入电流≥30A，适配宽频供电环境；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单路额定输出电源：配置≥2个16A电源接口、≥2个16A接线端子、≥4个10A电源接口，适配不同功率广播设备；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机箱设计：采用标准2U机架式机箱设计，可嵌入标准机柜安装，节省空间；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时序控制功能：支持8通道电源按预设顺序时序打开/关闭，保障系统启停有序；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远程控制功能：支持通过“上电+24V直流信号”实现8通道电源时序远程控制（该功能在电源总开关处于off位置时生效）；支持将CH1和CH2通道配置为受控或不受控状态，提升使用灵活性；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输入连接器：配备大功率线码式电源输入连接器，连接牢固可靠，满足大电流传输需求；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输出连接器：包含≥2个16A电源接口、≥2个16A接线端子及≥4个10A电源插座，适配不同类型设备插头；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扩展接口：配备USB输出接口，可用于连接LED指示灯等低压辅助设备，提供便捷供电；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兼容性：支持与校园现有广播主机、功放、扬声器等设备通过标准电源接口兼容对接，无需额外适配；</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870D5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087C1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02EAB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62320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2900</w:t>
            </w:r>
          </w:p>
        </w:tc>
      </w:tr>
      <w:tr w14:paraId="68C0E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919F6D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072F0A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有源音箱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265997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额定输出功率：总额定输出功率≥50W（含主箱与副箱，每路输出功率≥25W），满足中小空间扩声需求；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输出阻抗：支持4Ω-8Ω阻抗匹配，适配主流音频设备；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输入灵敏度：AUX输入灵敏度为350mV±20mV/10KΩ；话筒（MIC）输入灵敏度为5mV±0.5mV，保障微弱信号有效拾取；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信噪比：信噪比≥70dB，降低环境噪声干扰，确保音质清晰；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频率响应：频率响应范围40Hz~20KHz，频率响应偏差≤±3dB，覆盖人耳可听频段，音质均衡自然；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线路输出：线路输出信号幅度≥1V，支持信号级联扩展；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调节功能：配备至少1个话筒音量调节旋钮、1个线路输入音量调节旋钮及2个高低音调节旋钮，支持音质精细化调控；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谐波失真：谐波失真≤1%，减少信号失真，保障音频高保真输出；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工作温度：适应5℃～40℃工作环境，满足校园不同季节使用需求；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工作湿度：支持20%～80%相对湿度环境工作，无结露要求，适配潮湿天气；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电源功耗：最大电源功耗≤60W，节能环保；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供电电压：支持AC 220V 50Hz标准供电，符合国内用电规范；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设备尺寸：单箱外形尺寸（宽×高×深）≤162mm×240mm×225mm，体积小巧便于摆放；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设备重量：主箱与副箱总重量≤7.5kg，便于搬运与安装；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接口配置：支持至少1路话筒输入、1路立体声线路输入及1路立体声线路输出，满足多设备连接需求；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默音功能：具备话筒优先默音功能，话筒输入信号可优先抑制线路输入信号，保障紧急通知清晰传达；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音频处理：内置电子分频器，采用高低音独立功放驱动设计，配备高保真扬声器单元，提升音质层次感；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安全保护：具备输出过载保护、过压保护及短路保护功能，设备异常时自动启动保护机制，延长使用寿命；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兼容性：支持与校园现有调音台、广播主机、无线麦克风等设备通过标准接口兼容对接，无需额外转接设备；</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50C17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4843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DCAF9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F9AB6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w:t>
            </w:r>
          </w:p>
        </w:tc>
      </w:tr>
      <w:tr w14:paraId="6A9C2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977F9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636E7E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9B4A77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3米音频连接线：3.5（耳机插头）*1,6.35话筒插头*2,线径：0.3mm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908F4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772DC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848FD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F7F50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r>
      <w:tr w14:paraId="467A0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ADC8DF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27B685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3E399A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5米音频连接线：卡侬头（母）*1卡侬头（公）*1，线径：0.3mm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0B5DFE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C1692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F944D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E84FE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228</w:t>
            </w:r>
          </w:p>
        </w:tc>
      </w:tr>
      <w:tr w14:paraId="65BC3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6FCDD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995279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2D2CE1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5米音频连接线：6.35话筒插头*1，卡侬头（公）*1，线径：0.3mm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64B43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E6147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86366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82A3D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w:t>
            </w:r>
          </w:p>
        </w:tc>
      </w:tr>
      <w:tr w14:paraId="29027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CC72C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2C96C4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09ECE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5米音频连接线：卡农头（母）*1，线径：0.3mm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0B808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67E98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0C0F8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DA79BE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420</w:t>
            </w:r>
          </w:p>
        </w:tc>
      </w:tr>
      <w:tr w14:paraId="77222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8F0C9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7ED9ED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AC5D67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5米音频连接线：卡农头（公）*1，线径：0.3mm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E421F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995BC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0E94A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DD8E0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420</w:t>
            </w:r>
          </w:p>
        </w:tc>
      </w:tr>
      <w:tr w14:paraId="1F5A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A6A47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011F44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钢丝绳</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926F7D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1.钢丝绳，Φ8mm*1米（7*19）</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2.参考重量：100米/Kg=25.6</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9AEED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F8643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2D778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0933B5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430</w:t>
            </w:r>
          </w:p>
        </w:tc>
      </w:tr>
      <w:tr w14:paraId="125EC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3409C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9B6A9A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钢丝绳锁扣</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6C59A3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1.材质：304不锈钢；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2.类型：741夹头、卡头；</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FE23E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8E761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7B214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E0A3A7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r>
      <w:tr w14:paraId="23854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B73ED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A27D7F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1D5C9A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2.尺寸（W×D×H）：</w:t>
            </w:r>
            <w:r>
              <w:rPr>
                <w:rFonts w:ascii="Arial" w:hAnsi="Arial" w:eastAsia="宋体" w:cs="Arial"/>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600mm×600mm×2050mm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3.材质：冷轧钢板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37B18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40746F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21DFB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19EE1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7E669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566E0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7FC795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室外音柱立杆</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975031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1.尺寸：根据现场实际情况定制，但不超过3米；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2.材质：不锈钢；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3.厚度：≥1.5mm。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B22C9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975FC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DCC3E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E5DD0F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370</w:t>
            </w:r>
          </w:p>
        </w:tc>
      </w:tr>
      <w:tr w14:paraId="094EC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3C755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6D568C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线材</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BE718E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1.户外舞台音响线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2.线径：10.0mm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3.芯数：2*307铜芯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4.平方数：2*2.5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5.绝缘层:PVC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6.外被:耐磨 PVC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7.导体: 精选铜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C36983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0D94A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FB070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3E283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2500</w:t>
            </w:r>
          </w:p>
        </w:tc>
      </w:tr>
      <w:tr w14:paraId="13CC7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0450D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3A758A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933B1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铜芯护套线RVV3*1.5</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0A7D5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F7674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AE811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4BAA7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w:t>
            </w:r>
          </w:p>
        </w:tc>
      </w:tr>
      <w:tr w14:paraId="67631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43616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54CC4B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50-5同轴线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C5A4A2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直径7.2mm，馈线50-5-1</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DBFF3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441997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DB980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744F8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3000</w:t>
            </w:r>
          </w:p>
        </w:tc>
      </w:tr>
      <w:tr w14:paraId="26D7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00980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F0880D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镀锌钢管</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507C25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1.DN=25mm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2.厚度：2.75mm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2EE06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9F558F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3561F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9613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3600</w:t>
            </w:r>
          </w:p>
        </w:tc>
      </w:tr>
      <w:tr w14:paraId="428FB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5E42C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3833FD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汇总</w:t>
            </w:r>
          </w:p>
        </w:tc>
        <w:tc>
          <w:tcPr>
            <w:tcW w:w="5477" w:type="dxa"/>
            <w:tcBorders>
              <w:top w:val="single" w:color="000000" w:sz="4" w:space="0"/>
              <w:left w:val="single" w:color="000000" w:sz="4" w:space="0"/>
              <w:bottom w:val="single" w:color="000000" w:sz="4" w:space="0"/>
              <w:right w:val="single" w:color="000000" w:sz="4" w:space="0"/>
            </w:tcBorders>
            <w:noWrap/>
            <w:vAlign w:val="center"/>
          </w:tcPr>
          <w:p w14:paraId="22B2EFB2">
            <w:pPr>
              <w:rPr>
                <w:rFonts w:hint="eastAsia" w:ascii="宋体" w:hAnsi="宋体" w:eastAsia="宋体" w:cs="宋体"/>
                <w:i w:val="0"/>
                <w:iCs w:val="0"/>
                <w:color w:val="auto"/>
                <w:sz w:val="22"/>
                <w:szCs w:val="22"/>
                <w:u w:val="none"/>
              </w:rPr>
            </w:pP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65BC039">
            <w:pPr>
              <w:jc w:val="center"/>
              <w:rPr>
                <w:rFonts w:hint="eastAsia" w:ascii="宋体" w:hAnsi="宋体" w:eastAsia="宋体" w:cs="宋体"/>
                <w:i w:val="0"/>
                <w:iCs w:val="0"/>
                <w:color w:val="auto"/>
                <w:sz w:val="22"/>
                <w:szCs w:val="22"/>
                <w:u w:val="none"/>
              </w:rPr>
            </w:pP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6A2F95E">
            <w:pPr>
              <w:jc w:val="center"/>
              <w:rPr>
                <w:rFonts w:hint="eastAsia" w:ascii="宋体" w:hAnsi="宋体" w:eastAsia="宋体" w:cs="宋体"/>
                <w:i w:val="0"/>
                <w:iCs w:val="0"/>
                <w:color w:val="auto"/>
                <w:sz w:val="22"/>
                <w:szCs w:val="22"/>
                <w:u w:val="none"/>
              </w:rPr>
            </w:pP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3841EEB">
            <w:pPr>
              <w:jc w:val="center"/>
              <w:rPr>
                <w:rFonts w:hint="eastAsia" w:ascii="宋体" w:hAnsi="宋体" w:eastAsia="宋体" w:cs="宋体"/>
                <w:i w:val="0"/>
                <w:iCs w:val="0"/>
                <w:color w:val="auto"/>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88C51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1256750</w:t>
            </w:r>
          </w:p>
        </w:tc>
      </w:tr>
    </w:tbl>
    <w:p w14:paraId="213F2F64">
      <w:pPr>
        <w:pStyle w:val="69"/>
        <w:numPr>
          <w:ilvl w:val="0"/>
          <w:numId w:val="0"/>
        </w:numPr>
        <w:spacing w:line="360" w:lineRule="auto"/>
        <w:ind w:leftChars="0"/>
        <w:jc w:val="left"/>
        <w:rPr>
          <w:rFonts w:cs="宋体" w:asciiTheme="minorEastAsia" w:hAnsiTheme="minorEastAsia" w:eastAsiaTheme="minorEastAsia"/>
          <w:b/>
          <w:bCs/>
          <w:sz w:val="28"/>
          <w:szCs w:val="28"/>
        </w:rPr>
      </w:pPr>
    </w:p>
    <w:p w14:paraId="3C012309">
      <w:pPr>
        <w:rPr>
          <w:rFonts w:ascii="宋体" w:hAnsi="宋体" w:cs="宋体"/>
          <w:sz w:val="20"/>
          <w:szCs w:val="20"/>
        </w:rPr>
      </w:pPr>
    </w:p>
    <w:p w14:paraId="12A9E82A">
      <w:pPr>
        <w:rPr>
          <w:rFonts w:ascii="宋体" w:hAnsi="宋体" w:cs="Arial"/>
          <w:b/>
          <w:bCs/>
          <w:kern w:val="0"/>
          <w:sz w:val="24"/>
        </w:rPr>
      </w:pPr>
    </w:p>
    <w:p w14:paraId="1B3C4935">
      <w:pPr>
        <w:rPr>
          <w:rFonts w:ascii="宋体" w:hAnsi="宋体" w:cs="Arial"/>
          <w:b/>
          <w:bCs/>
          <w:kern w:val="0"/>
          <w:sz w:val="24"/>
        </w:rPr>
      </w:pPr>
    </w:p>
    <w:p w14:paraId="72D147B3">
      <w:pPr>
        <w:rPr>
          <w:rFonts w:ascii="宋体" w:hAnsi="宋体" w:cs="Arial"/>
          <w:b/>
          <w:bCs/>
          <w:kern w:val="0"/>
          <w:sz w:val="24"/>
        </w:rPr>
        <w:sectPr>
          <w:pgSz w:w="11907" w:h="16840"/>
          <w:pgMar w:top="1134" w:right="1134" w:bottom="1134" w:left="1418" w:header="1021" w:footer="1021" w:gutter="170"/>
          <w:paperSrc w:first="15" w:other="15"/>
          <w:cols w:space="720" w:num="1"/>
          <w:docGrid w:linePitch="286" w:charSpace="0"/>
        </w:sectPr>
      </w:pPr>
    </w:p>
    <w:p w14:paraId="61B888E0">
      <w:pPr>
        <w:rPr>
          <w:rFonts w:ascii="宋体" w:hAnsi="宋体" w:cs="Arial"/>
          <w:b/>
          <w:bCs/>
          <w:kern w:val="0"/>
          <w:sz w:val="24"/>
        </w:rPr>
      </w:pPr>
    </w:p>
    <w:p w14:paraId="7F67D41C">
      <w:pPr>
        <w:rPr>
          <w:rFonts w:ascii="宋体" w:hAnsi="宋体" w:cs="Arial"/>
          <w:b/>
          <w:bCs/>
          <w:kern w:val="0"/>
          <w:sz w:val="24"/>
        </w:rPr>
      </w:pPr>
    </w:p>
    <w:p w14:paraId="4D41351A">
      <w:pPr>
        <w:spacing w:line="360" w:lineRule="auto"/>
        <w:rPr>
          <w:rFonts w:ascii="宋体" w:hAnsi="宋体" w:cs="Arial"/>
          <w:b/>
          <w:bCs/>
          <w:kern w:val="0"/>
          <w:sz w:val="24"/>
        </w:rPr>
      </w:pPr>
      <w:r>
        <w:rPr>
          <w:rFonts w:hint="eastAsia" w:ascii="宋体" w:hAnsi="宋体" w:cs="Arial"/>
          <w:b/>
          <w:bCs/>
          <w:kern w:val="0"/>
          <w:sz w:val="24"/>
        </w:rPr>
        <w:t>二、偏离要求</w:t>
      </w:r>
    </w:p>
    <w:p w14:paraId="599EF4E5">
      <w:pPr>
        <w:spacing w:line="360" w:lineRule="auto"/>
        <w:ind w:firstLine="482"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Arial"/>
          <w:b/>
          <w:bCs/>
          <w:color w:val="000000" w:themeColor="text1"/>
          <w:kern w:val="0"/>
          <w:sz w:val="24"/>
          <w14:textFill>
            <w14:solidFill>
              <w14:schemeClr w14:val="tx1"/>
            </w14:solidFill>
          </w14:textFill>
        </w:rPr>
        <w:t>所有产品技术参数不允许负偏离。</w:t>
      </w:r>
    </w:p>
    <w:p w14:paraId="4225D5D9">
      <w:pPr>
        <w:spacing w:line="360" w:lineRule="auto"/>
        <w:rPr>
          <w:rFonts w:ascii="宋体" w:hAnsi="宋体" w:cs="宋体"/>
          <w:b/>
          <w:bCs/>
          <w:kern w:val="0"/>
          <w:sz w:val="24"/>
        </w:rPr>
      </w:pPr>
      <w:r>
        <w:rPr>
          <w:rFonts w:hint="eastAsia" w:ascii="宋体" w:hAnsi="宋体" w:cs="宋体"/>
          <w:b/>
          <w:bCs/>
          <w:kern w:val="0"/>
          <w:sz w:val="24"/>
        </w:rPr>
        <w:t>三、服务要求</w:t>
      </w:r>
    </w:p>
    <w:p w14:paraId="4089CBCF">
      <w:pPr>
        <w:spacing w:line="360" w:lineRule="auto"/>
        <w:ind w:firstLine="480" w:firstLineChars="200"/>
        <w:jc w:val="left"/>
        <w:rPr>
          <w:rFonts w:ascii="宋体" w:hAnsi="宋体" w:cs="Arial"/>
          <w:b/>
          <w:bCs/>
          <w:kern w:val="0"/>
          <w:sz w:val="24"/>
        </w:rPr>
      </w:pPr>
      <w:r>
        <w:rPr>
          <w:rFonts w:hint="eastAsia" w:ascii="宋体" w:hAnsi="宋体" w:cs="宋体"/>
          <w:bCs/>
          <w:kern w:val="0"/>
          <w:sz w:val="24"/>
        </w:rPr>
        <w:t>1.</w:t>
      </w:r>
      <w:r>
        <w:rPr>
          <w:rFonts w:hint="eastAsia" w:ascii="宋体" w:hAnsi="宋体" w:cs="Arial"/>
          <w:b/>
          <w:bCs/>
          <w:kern w:val="0"/>
          <w:sz w:val="24"/>
        </w:rPr>
        <w:t>本次谈判所有设备包含安装调试。</w:t>
      </w:r>
    </w:p>
    <w:p w14:paraId="015CA636">
      <w:pPr>
        <w:spacing w:line="360" w:lineRule="auto"/>
        <w:ind w:firstLine="480" w:firstLineChars="200"/>
        <w:jc w:val="left"/>
        <w:rPr>
          <w:rFonts w:ascii="宋体" w:hAnsi="宋体" w:cs="宋体"/>
          <w:bCs/>
          <w:color w:val="FF0000"/>
          <w:kern w:val="0"/>
          <w:sz w:val="24"/>
        </w:rPr>
      </w:pPr>
      <w:r>
        <w:rPr>
          <w:rFonts w:hint="eastAsia" w:ascii="宋体" w:hAnsi="宋体" w:cs="宋体"/>
          <w:bCs/>
          <w:kern w:val="0"/>
          <w:sz w:val="24"/>
        </w:rPr>
        <w:t>2.验收合格后产品质保：所有产品质保</w:t>
      </w:r>
      <w:r>
        <w:rPr>
          <w:rFonts w:hint="eastAsia" w:ascii="宋体" w:hAnsi="宋体" w:cs="宋体"/>
          <w:bCs/>
          <w:kern w:val="0"/>
          <w:sz w:val="24"/>
          <w:lang w:eastAsia="zh-CN"/>
        </w:rPr>
        <w:t>两</w:t>
      </w:r>
      <w:r>
        <w:rPr>
          <w:rFonts w:hint="eastAsia" w:ascii="宋体" w:hAnsi="宋体" w:cs="宋体"/>
          <w:bCs/>
          <w:kern w:val="0"/>
          <w:sz w:val="24"/>
        </w:rPr>
        <w:t>年。</w:t>
      </w:r>
    </w:p>
    <w:p w14:paraId="57AB1ACF">
      <w:pPr>
        <w:spacing w:line="360" w:lineRule="auto"/>
        <w:ind w:firstLine="480" w:firstLineChars="200"/>
        <w:jc w:val="left"/>
        <w:rPr>
          <w:rFonts w:ascii="宋体" w:hAnsi="宋体" w:cs="宋体"/>
          <w:bCs/>
          <w:color w:val="FF0000"/>
          <w:kern w:val="0"/>
          <w:sz w:val="24"/>
        </w:rPr>
      </w:pPr>
      <w:r>
        <w:rPr>
          <w:rFonts w:ascii="宋体" w:hAnsi="宋体"/>
          <w:kern w:val="0"/>
          <w:sz w:val="24"/>
        </w:rPr>
        <w:t>3</w:t>
      </w:r>
      <w:r>
        <w:rPr>
          <w:rFonts w:hint="eastAsia" w:ascii="宋体" w:hAnsi="宋体"/>
          <w:kern w:val="0"/>
          <w:sz w:val="24"/>
        </w:rPr>
        <w:t>.合同履行期限：</w:t>
      </w:r>
      <w:r>
        <w:rPr>
          <w:rFonts w:hint="eastAsia" w:ascii="宋体" w:hAnsi="宋体"/>
          <w:color w:val="000000" w:themeColor="text1"/>
          <w:kern w:val="0"/>
          <w:sz w:val="24"/>
          <w14:textFill>
            <w14:solidFill>
              <w14:schemeClr w14:val="tx1"/>
            </w14:solidFill>
          </w14:textFill>
        </w:rPr>
        <w:t>自合同执行之日起</w:t>
      </w:r>
      <w:r>
        <w:rPr>
          <w:rFonts w:ascii="宋体" w:hAnsi="宋体"/>
          <w:color w:val="000000" w:themeColor="text1"/>
          <w:kern w:val="0"/>
          <w:sz w:val="24"/>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0个日历天内。</w:t>
      </w:r>
    </w:p>
    <w:p w14:paraId="5A30535C">
      <w:pPr>
        <w:spacing w:line="360" w:lineRule="auto"/>
        <w:jc w:val="left"/>
        <w:rPr>
          <w:rFonts w:ascii="宋体" w:hAnsi="宋体" w:cs="宋体"/>
          <w:b/>
          <w:bCs/>
          <w:kern w:val="0"/>
          <w:sz w:val="24"/>
        </w:rPr>
      </w:pPr>
      <w:r>
        <w:rPr>
          <w:rFonts w:hint="eastAsia" w:ascii="宋体" w:hAnsi="宋体" w:cs="宋体"/>
          <w:b/>
          <w:bCs/>
          <w:kern w:val="0"/>
          <w:sz w:val="24"/>
        </w:rPr>
        <w:t>四、交货地点</w:t>
      </w:r>
    </w:p>
    <w:p w14:paraId="0AFADA4D">
      <w:pPr>
        <w:spacing w:line="360" w:lineRule="auto"/>
        <w:ind w:firstLine="480" w:firstLineChars="200"/>
        <w:jc w:val="left"/>
        <w:rPr>
          <w:rFonts w:ascii="宋体" w:hAnsi="宋体"/>
          <w:kern w:val="0"/>
          <w:sz w:val="24"/>
        </w:rPr>
      </w:pPr>
      <w:r>
        <w:rPr>
          <w:rFonts w:hint="eastAsia" w:ascii="宋体" w:hAnsi="宋体" w:cs="宋体"/>
          <w:bCs/>
          <w:kern w:val="0"/>
          <w:sz w:val="24"/>
        </w:rPr>
        <w:t>长春净月高新技术产业开发区</w:t>
      </w:r>
      <w:r>
        <w:rPr>
          <w:rFonts w:ascii="宋体" w:hAnsi="宋体" w:cs="宋体"/>
          <w:bCs/>
          <w:kern w:val="0"/>
          <w:sz w:val="24"/>
        </w:rPr>
        <w:t>内</w:t>
      </w:r>
      <w:r>
        <w:rPr>
          <w:rFonts w:hint="eastAsia" w:ascii="宋体" w:hAnsi="宋体" w:cs="宋体"/>
          <w:bCs/>
          <w:kern w:val="0"/>
          <w:sz w:val="24"/>
        </w:rPr>
        <w:t>采购人</w:t>
      </w:r>
      <w:r>
        <w:rPr>
          <w:rFonts w:ascii="宋体" w:hAnsi="宋体" w:cs="宋体"/>
          <w:bCs/>
          <w:kern w:val="0"/>
          <w:sz w:val="24"/>
        </w:rPr>
        <w:t>指定地点</w:t>
      </w:r>
      <w:r>
        <w:rPr>
          <w:rFonts w:hint="eastAsia" w:ascii="宋体" w:hAnsi="宋体" w:cs="宋体"/>
          <w:bCs/>
          <w:kern w:val="0"/>
          <w:sz w:val="24"/>
        </w:rPr>
        <w:t>。</w:t>
      </w:r>
    </w:p>
    <w:p w14:paraId="54956256">
      <w:pPr>
        <w:spacing w:line="360" w:lineRule="auto"/>
        <w:jc w:val="left"/>
        <w:rPr>
          <w:rFonts w:ascii="宋体" w:hAnsi="宋体" w:cs="宋体"/>
          <w:b/>
          <w:bCs/>
          <w:kern w:val="0"/>
          <w:sz w:val="24"/>
        </w:rPr>
      </w:pPr>
      <w:r>
        <w:rPr>
          <w:rFonts w:hint="eastAsia" w:ascii="宋体" w:hAnsi="宋体" w:cs="宋体"/>
          <w:b/>
          <w:bCs/>
          <w:kern w:val="0"/>
          <w:sz w:val="24"/>
        </w:rPr>
        <w:t>五、付款方式</w:t>
      </w:r>
    </w:p>
    <w:p w14:paraId="01EA5716">
      <w:pPr>
        <w:spacing w:line="360" w:lineRule="auto"/>
        <w:ind w:firstLine="480" w:firstLineChars="200"/>
        <w:jc w:val="left"/>
        <w:rPr>
          <w:rFonts w:ascii="宋体" w:hAnsi="宋体"/>
          <w:kern w:val="0"/>
          <w:sz w:val="24"/>
        </w:rPr>
      </w:pPr>
      <w:r>
        <w:rPr>
          <w:rFonts w:hint="eastAsia" w:ascii="宋体" w:hAnsi="宋体"/>
          <w:kern w:val="0"/>
          <w:sz w:val="24"/>
        </w:rPr>
        <w:t>按照合同约定的付款方式付款。</w:t>
      </w:r>
    </w:p>
    <w:p w14:paraId="161B924E">
      <w:pPr>
        <w:jc w:val="center"/>
        <w:rPr>
          <w:rFonts w:ascii="宋体" w:hAnsi="宋体"/>
          <w:b/>
          <w:bCs/>
          <w:sz w:val="24"/>
        </w:rPr>
      </w:pPr>
    </w:p>
    <w:p w14:paraId="3AC86D5D">
      <w:pPr>
        <w:rPr>
          <w:rFonts w:ascii="宋体" w:hAnsi="宋体"/>
          <w:b/>
          <w:bCs/>
          <w:sz w:val="32"/>
          <w:szCs w:val="32"/>
        </w:rPr>
      </w:pPr>
    </w:p>
    <w:p w14:paraId="36186E04">
      <w:pPr>
        <w:widowControl/>
        <w:jc w:val="left"/>
        <w:rPr>
          <w:rFonts w:ascii="仿宋_GB2312"/>
          <w:b/>
          <w:bCs/>
          <w:sz w:val="28"/>
          <w:szCs w:val="28"/>
        </w:rPr>
        <w:sectPr>
          <w:pgSz w:w="11907" w:h="16840"/>
          <w:pgMar w:top="1134" w:right="1134" w:bottom="1134" w:left="1418" w:header="1021" w:footer="1021" w:gutter="170"/>
          <w:paperSrc w:first="15" w:other="15"/>
          <w:cols w:space="720" w:num="1"/>
          <w:docGrid w:linePitch="286" w:charSpace="0"/>
        </w:sectPr>
      </w:pPr>
      <w:bookmarkStart w:id="17" w:name="_Toc103723517"/>
      <w:r>
        <w:rPr>
          <w:rFonts w:ascii="仿宋_GB2312"/>
          <w:b/>
          <w:bCs/>
          <w:sz w:val="28"/>
          <w:szCs w:val="28"/>
        </w:rPr>
        <w:br w:type="page"/>
      </w:r>
    </w:p>
    <w:p w14:paraId="62415223">
      <w:pPr>
        <w:jc w:val="center"/>
        <w:outlineLvl w:val="0"/>
        <w:rPr>
          <w:rFonts w:ascii="宋体" w:hAnsi="宋体"/>
          <w:b/>
          <w:bCs/>
          <w:sz w:val="36"/>
          <w:szCs w:val="36"/>
        </w:rPr>
      </w:pPr>
    </w:p>
    <w:p w14:paraId="7EF8FBE0">
      <w:pPr>
        <w:jc w:val="center"/>
        <w:outlineLvl w:val="0"/>
        <w:rPr>
          <w:rFonts w:ascii="宋体" w:hAnsi="宋体"/>
          <w:b/>
          <w:bCs/>
          <w:sz w:val="36"/>
          <w:szCs w:val="36"/>
        </w:rPr>
      </w:pPr>
    </w:p>
    <w:p w14:paraId="30E3C78C">
      <w:pPr>
        <w:jc w:val="center"/>
        <w:outlineLvl w:val="0"/>
        <w:rPr>
          <w:rFonts w:ascii="宋体" w:hAnsi="宋体"/>
          <w:b/>
          <w:bCs/>
          <w:sz w:val="36"/>
          <w:szCs w:val="36"/>
        </w:rPr>
      </w:pPr>
    </w:p>
    <w:p w14:paraId="2D6B1369">
      <w:pPr>
        <w:jc w:val="center"/>
        <w:outlineLvl w:val="0"/>
        <w:rPr>
          <w:rFonts w:ascii="宋体" w:hAnsi="宋体"/>
          <w:b/>
          <w:bCs/>
          <w:sz w:val="36"/>
          <w:szCs w:val="36"/>
        </w:rPr>
      </w:pPr>
    </w:p>
    <w:p w14:paraId="7FD47CE8">
      <w:pPr>
        <w:jc w:val="center"/>
        <w:outlineLvl w:val="0"/>
        <w:rPr>
          <w:rFonts w:ascii="宋体" w:hAnsi="宋体"/>
          <w:b/>
          <w:bCs/>
          <w:sz w:val="36"/>
          <w:szCs w:val="36"/>
        </w:rPr>
      </w:pPr>
    </w:p>
    <w:p w14:paraId="15C8C15A">
      <w:pPr>
        <w:jc w:val="center"/>
        <w:outlineLvl w:val="0"/>
        <w:rPr>
          <w:rFonts w:ascii="宋体" w:hAnsi="宋体"/>
          <w:b/>
          <w:bCs/>
          <w:sz w:val="36"/>
          <w:szCs w:val="36"/>
        </w:rPr>
      </w:pPr>
    </w:p>
    <w:p w14:paraId="51AE50EB">
      <w:pPr>
        <w:jc w:val="center"/>
        <w:outlineLvl w:val="0"/>
        <w:rPr>
          <w:rFonts w:ascii="宋体" w:hAnsi="宋体"/>
          <w:b/>
          <w:bCs/>
          <w:sz w:val="36"/>
          <w:szCs w:val="36"/>
        </w:rPr>
      </w:pPr>
    </w:p>
    <w:p w14:paraId="27631C31">
      <w:pPr>
        <w:jc w:val="center"/>
        <w:outlineLvl w:val="0"/>
        <w:rPr>
          <w:rFonts w:ascii="宋体" w:hAnsi="宋体"/>
          <w:b/>
          <w:bCs/>
          <w:sz w:val="36"/>
          <w:szCs w:val="36"/>
        </w:rPr>
      </w:pPr>
    </w:p>
    <w:p w14:paraId="203D4EF5">
      <w:pPr>
        <w:jc w:val="center"/>
        <w:outlineLvl w:val="0"/>
        <w:rPr>
          <w:rFonts w:ascii="宋体" w:hAnsi="宋体"/>
          <w:b/>
          <w:bCs/>
          <w:sz w:val="36"/>
          <w:szCs w:val="36"/>
        </w:rPr>
      </w:pPr>
      <w:r>
        <w:rPr>
          <w:rFonts w:hint="eastAsia" w:ascii="宋体" w:hAnsi="宋体"/>
          <w:b/>
          <w:bCs/>
          <w:sz w:val="36"/>
          <w:szCs w:val="36"/>
        </w:rPr>
        <w:t>第三章</w:t>
      </w:r>
      <w:r>
        <w:rPr>
          <w:rFonts w:ascii="宋体" w:hAnsi="宋体"/>
          <w:b/>
          <w:bCs/>
          <w:sz w:val="36"/>
          <w:szCs w:val="36"/>
        </w:rPr>
        <w:br w:type="textWrapping"/>
      </w:r>
      <w:r>
        <w:rPr>
          <w:rFonts w:ascii="宋体" w:hAnsi="宋体"/>
          <w:b/>
          <w:bCs/>
          <w:sz w:val="36"/>
          <w:szCs w:val="36"/>
        </w:rPr>
        <w:br w:type="textWrapping"/>
      </w:r>
      <w:r>
        <w:rPr>
          <w:rFonts w:hint="eastAsia" w:ascii="宋体" w:hAnsi="宋体"/>
          <w:b/>
          <w:bCs/>
          <w:sz w:val="36"/>
          <w:szCs w:val="36"/>
        </w:rPr>
        <w:t>响应谈判供应商须知</w:t>
      </w:r>
    </w:p>
    <w:p w14:paraId="6B0AC798">
      <w:pPr>
        <w:widowControl/>
        <w:jc w:val="left"/>
        <w:rPr>
          <w:rFonts w:ascii="仿宋_GB2312"/>
          <w:b/>
          <w:bCs/>
          <w:sz w:val="28"/>
          <w:szCs w:val="28"/>
        </w:rPr>
        <w:sectPr>
          <w:pgSz w:w="11907" w:h="16840"/>
          <w:pgMar w:top="1134" w:right="1134" w:bottom="1134" w:left="1418" w:header="1021" w:footer="1021" w:gutter="170"/>
          <w:paperSrc w:first="15" w:other="15"/>
          <w:cols w:space="720" w:num="1"/>
          <w:docGrid w:linePitch="271" w:charSpace="0"/>
        </w:sectPr>
      </w:pPr>
    </w:p>
    <w:p w14:paraId="17981413">
      <w:pPr>
        <w:widowControl/>
        <w:jc w:val="left"/>
        <w:rPr>
          <w:rFonts w:ascii="仿宋_GB2312"/>
          <w:b/>
          <w:bCs/>
          <w:sz w:val="28"/>
          <w:szCs w:val="28"/>
        </w:rPr>
      </w:pPr>
    </w:p>
    <w:p w14:paraId="4046C823">
      <w:pPr>
        <w:jc w:val="center"/>
        <w:outlineLvl w:val="1"/>
        <w:rPr>
          <w:rFonts w:ascii="宋体" w:hAnsi="宋体"/>
          <w:b/>
          <w:bCs/>
          <w:sz w:val="32"/>
          <w:szCs w:val="32"/>
        </w:rPr>
      </w:pPr>
      <w:r>
        <w:rPr>
          <w:rFonts w:hint="eastAsia" w:ascii="仿宋_GB2312"/>
          <w:b/>
          <w:bCs/>
          <w:sz w:val="28"/>
          <w:szCs w:val="28"/>
        </w:rPr>
        <w:t>一、前附表</w:t>
      </w:r>
      <w:bookmarkEnd w:id="17"/>
    </w:p>
    <w:p w14:paraId="7678B922">
      <w:pPr>
        <w:jc w:val="center"/>
        <w:rPr>
          <w:rFonts w:ascii="仿宋_GB2312" w:eastAsia="仿宋_GB2312"/>
          <w:b/>
          <w:bCs/>
          <w:sz w:val="10"/>
        </w:rPr>
      </w:pPr>
    </w:p>
    <w:tbl>
      <w:tblPr>
        <w:tblStyle w:val="41"/>
        <w:tblW w:w="9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134"/>
        <w:gridCol w:w="1531"/>
        <w:gridCol w:w="6032"/>
      </w:tblGrid>
      <w:tr w14:paraId="2AD2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96" w:type="dxa"/>
            <w:vAlign w:val="center"/>
          </w:tcPr>
          <w:p w14:paraId="10634610">
            <w:pPr>
              <w:spacing w:before="180" w:beforeLines="75" w:line="360" w:lineRule="auto"/>
              <w:jc w:val="center"/>
              <w:rPr>
                <w:rFonts w:ascii="宋体" w:hAnsi="宋体"/>
                <w:sz w:val="24"/>
              </w:rPr>
            </w:pPr>
            <w:r>
              <w:rPr>
                <w:rFonts w:hint="eastAsia" w:ascii="宋体" w:hAnsi="宋体"/>
                <w:sz w:val="24"/>
              </w:rPr>
              <w:t>序号</w:t>
            </w:r>
          </w:p>
        </w:tc>
        <w:tc>
          <w:tcPr>
            <w:tcW w:w="1134" w:type="dxa"/>
            <w:vAlign w:val="center"/>
          </w:tcPr>
          <w:p w14:paraId="4B839F44">
            <w:pPr>
              <w:spacing w:before="180" w:beforeLines="75" w:line="360" w:lineRule="auto"/>
              <w:jc w:val="center"/>
              <w:rPr>
                <w:rFonts w:ascii="宋体" w:hAnsi="宋体"/>
                <w:sz w:val="24"/>
              </w:rPr>
            </w:pPr>
            <w:r>
              <w:rPr>
                <w:rFonts w:hint="eastAsia" w:ascii="宋体" w:hAnsi="宋体"/>
                <w:sz w:val="24"/>
              </w:rPr>
              <w:t>条款号</w:t>
            </w:r>
          </w:p>
        </w:tc>
        <w:tc>
          <w:tcPr>
            <w:tcW w:w="1531" w:type="dxa"/>
            <w:vAlign w:val="center"/>
          </w:tcPr>
          <w:p w14:paraId="1381CA2C">
            <w:pPr>
              <w:spacing w:before="180" w:beforeLines="75" w:line="360" w:lineRule="auto"/>
              <w:jc w:val="center"/>
              <w:rPr>
                <w:rFonts w:ascii="宋体" w:hAnsi="宋体"/>
                <w:sz w:val="24"/>
              </w:rPr>
            </w:pPr>
            <w:r>
              <w:rPr>
                <w:rFonts w:hint="eastAsia" w:ascii="宋体" w:hAnsi="宋体"/>
                <w:sz w:val="24"/>
              </w:rPr>
              <w:t>条款名称</w:t>
            </w:r>
          </w:p>
        </w:tc>
        <w:tc>
          <w:tcPr>
            <w:tcW w:w="6032" w:type="dxa"/>
            <w:vAlign w:val="center"/>
          </w:tcPr>
          <w:p w14:paraId="7535C4FC">
            <w:pPr>
              <w:spacing w:before="180" w:beforeLines="75" w:line="360" w:lineRule="auto"/>
              <w:jc w:val="center"/>
              <w:rPr>
                <w:rFonts w:ascii="宋体" w:hAnsi="宋体"/>
                <w:sz w:val="24"/>
              </w:rPr>
            </w:pPr>
            <w:r>
              <w:rPr>
                <w:rFonts w:hint="eastAsia" w:ascii="宋体" w:hAnsi="宋体"/>
                <w:sz w:val="24"/>
              </w:rPr>
              <w:t>编列内容</w:t>
            </w:r>
          </w:p>
        </w:tc>
      </w:tr>
      <w:tr w14:paraId="158FD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96" w:type="dxa"/>
            <w:vAlign w:val="center"/>
          </w:tcPr>
          <w:p w14:paraId="7971BE30">
            <w:pPr>
              <w:spacing w:before="180" w:beforeLines="75" w:line="360" w:lineRule="auto"/>
              <w:jc w:val="center"/>
              <w:rPr>
                <w:rFonts w:ascii="宋体" w:hAnsi="宋体"/>
                <w:sz w:val="24"/>
              </w:rPr>
            </w:pPr>
            <w:r>
              <w:rPr>
                <w:rFonts w:hint="eastAsia" w:ascii="宋体" w:hAnsi="宋体"/>
                <w:sz w:val="24"/>
              </w:rPr>
              <w:t>1</w:t>
            </w:r>
          </w:p>
        </w:tc>
        <w:tc>
          <w:tcPr>
            <w:tcW w:w="1134" w:type="dxa"/>
            <w:vAlign w:val="center"/>
          </w:tcPr>
          <w:p w14:paraId="1B9A2E93">
            <w:pPr>
              <w:spacing w:before="180" w:beforeLines="75" w:line="360" w:lineRule="auto"/>
              <w:jc w:val="center"/>
              <w:rPr>
                <w:rFonts w:ascii="宋体" w:hAnsi="宋体"/>
                <w:sz w:val="24"/>
              </w:rPr>
            </w:pPr>
            <w:r>
              <w:rPr>
                <w:rFonts w:hint="eastAsia" w:ascii="宋体" w:hAnsi="宋体"/>
                <w:sz w:val="24"/>
              </w:rPr>
              <w:t>1.2</w:t>
            </w:r>
          </w:p>
        </w:tc>
        <w:tc>
          <w:tcPr>
            <w:tcW w:w="1531" w:type="dxa"/>
            <w:vAlign w:val="center"/>
          </w:tcPr>
          <w:p w14:paraId="04F9900D">
            <w:pPr>
              <w:spacing w:before="180" w:beforeLines="75" w:line="360" w:lineRule="auto"/>
              <w:jc w:val="center"/>
              <w:rPr>
                <w:rFonts w:ascii="宋体" w:hAnsi="宋体"/>
                <w:sz w:val="24"/>
              </w:rPr>
            </w:pPr>
            <w:r>
              <w:rPr>
                <w:rFonts w:hint="eastAsia" w:ascii="宋体" w:hAnsi="宋体"/>
                <w:sz w:val="24"/>
              </w:rPr>
              <w:t>采购人</w:t>
            </w:r>
          </w:p>
        </w:tc>
        <w:tc>
          <w:tcPr>
            <w:tcW w:w="6032" w:type="dxa"/>
            <w:vAlign w:val="center"/>
          </w:tcPr>
          <w:p w14:paraId="7518039C">
            <w:pPr>
              <w:spacing w:before="180" w:beforeLines="75" w:line="360" w:lineRule="auto"/>
              <w:rPr>
                <w:rFonts w:ascii="宋体" w:hAnsi="宋体"/>
                <w:sz w:val="24"/>
              </w:rPr>
            </w:pPr>
            <w:r>
              <w:rPr>
                <w:rFonts w:hint="eastAsia" w:ascii="宋体" w:hAnsi="宋体"/>
                <w:sz w:val="24"/>
              </w:rPr>
              <w:t>采购人：</w:t>
            </w:r>
            <w:r>
              <w:rPr>
                <w:rFonts w:hint="eastAsia" w:ascii="宋体" w:hAnsi="宋体"/>
                <w:kern w:val="0"/>
                <w:sz w:val="24"/>
              </w:rPr>
              <w:t>长春净月高新技术产业开发区</w:t>
            </w:r>
            <w:r>
              <w:rPr>
                <w:rFonts w:hint="eastAsia" w:ascii="宋体" w:hAnsi="宋体"/>
                <w:kern w:val="0"/>
                <w:sz w:val="24"/>
                <w:lang w:eastAsia="zh-CN"/>
              </w:rPr>
              <w:t>教育</w:t>
            </w:r>
            <w:r>
              <w:rPr>
                <w:rFonts w:hint="eastAsia" w:ascii="宋体" w:hAnsi="宋体"/>
                <w:kern w:val="0"/>
                <w:sz w:val="24"/>
              </w:rPr>
              <w:t>局</w:t>
            </w:r>
          </w:p>
          <w:p w14:paraId="277BC38E">
            <w:pPr>
              <w:spacing w:before="180" w:beforeLines="75" w:line="360" w:lineRule="auto"/>
              <w:rPr>
                <w:rFonts w:ascii="宋体" w:hAnsi="宋体"/>
                <w:kern w:val="0"/>
                <w:sz w:val="24"/>
              </w:rPr>
            </w:pPr>
            <w:r>
              <w:rPr>
                <w:rFonts w:hint="eastAsia" w:ascii="宋体" w:hAnsi="宋体"/>
                <w:sz w:val="24"/>
              </w:rPr>
              <w:t>地址：长春净月高新技术产业开发区福祉大路1572号5号楼</w:t>
            </w:r>
          </w:p>
          <w:p w14:paraId="40B18C6C">
            <w:pPr>
              <w:spacing w:before="180" w:beforeLines="75" w:line="360" w:lineRule="auto"/>
              <w:rPr>
                <w:rFonts w:ascii="宋体" w:hAnsi="宋体"/>
                <w:sz w:val="24"/>
              </w:rPr>
            </w:pPr>
            <w:r>
              <w:rPr>
                <w:rFonts w:hint="eastAsia" w:ascii="宋体" w:hAnsi="宋体"/>
                <w:sz w:val="24"/>
              </w:rPr>
              <w:t>联系人：钟超</w:t>
            </w:r>
          </w:p>
          <w:p w14:paraId="7664D6C2">
            <w:pPr>
              <w:spacing w:before="180" w:beforeLines="75" w:line="360" w:lineRule="auto"/>
              <w:rPr>
                <w:rFonts w:hint="eastAsia" w:ascii="宋体" w:hAnsi="宋体" w:eastAsia="宋体"/>
                <w:sz w:val="24"/>
                <w:lang w:eastAsia="zh-CN"/>
              </w:rPr>
            </w:pPr>
            <w:r>
              <w:rPr>
                <w:rFonts w:hint="eastAsia" w:ascii="宋体" w:hAnsi="宋体"/>
                <w:sz w:val="24"/>
              </w:rPr>
              <w:t>电话：</w:t>
            </w:r>
            <w:r>
              <w:rPr>
                <w:rFonts w:ascii="宋体" w:hAnsi="宋体"/>
                <w:sz w:val="24"/>
              </w:rPr>
              <w:t>0431-</w:t>
            </w:r>
            <w:r>
              <w:rPr>
                <w:rFonts w:hint="eastAsia" w:ascii="宋体" w:hAnsi="宋体"/>
                <w:sz w:val="24"/>
                <w:lang w:eastAsia="zh-CN"/>
              </w:rPr>
              <w:t>88690186</w:t>
            </w:r>
          </w:p>
        </w:tc>
      </w:tr>
      <w:tr w14:paraId="50889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596" w:type="dxa"/>
            <w:vAlign w:val="center"/>
          </w:tcPr>
          <w:p w14:paraId="49CF6EC0">
            <w:pPr>
              <w:spacing w:before="180" w:beforeLines="75" w:line="360" w:lineRule="auto"/>
              <w:jc w:val="center"/>
              <w:rPr>
                <w:rFonts w:ascii="宋体" w:hAnsi="宋体"/>
                <w:sz w:val="24"/>
              </w:rPr>
            </w:pPr>
            <w:r>
              <w:rPr>
                <w:rFonts w:hint="eastAsia" w:ascii="宋体" w:hAnsi="宋体"/>
                <w:sz w:val="24"/>
              </w:rPr>
              <w:t>2</w:t>
            </w:r>
          </w:p>
        </w:tc>
        <w:tc>
          <w:tcPr>
            <w:tcW w:w="1134" w:type="dxa"/>
            <w:vAlign w:val="center"/>
          </w:tcPr>
          <w:p w14:paraId="35D8961D">
            <w:pPr>
              <w:spacing w:before="180" w:beforeLines="75" w:line="360" w:lineRule="auto"/>
              <w:jc w:val="center"/>
              <w:rPr>
                <w:rFonts w:ascii="宋体" w:hAnsi="宋体"/>
                <w:sz w:val="24"/>
              </w:rPr>
            </w:pPr>
            <w:r>
              <w:rPr>
                <w:rFonts w:hint="eastAsia" w:ascii="宋体" w:hAnsi="宋体"/>
                <w:sz w:val="24"/>
              </w:rPr>
              <w:t>1.3</w:t>
            </w:r>
          </w:p>
        </w:tc>
        <w:tc>
          <w:tcPr>
            <w:tcW w:w="1531" w:type="dxa"/>
            <w:vAlign w:val="center"/>
          </w:tcPr>
          <w:p w14:paraId="5103B29F">
            <w:pPr>
              <w:spacing w:before="180" w:beforeLines="75" w:line="360" w:lineRule="auto"/>
              <w:jc w:val="center"/>
              <w:rPr>
                <w:rFonts w:ascii="宋体" w:hAnsi="宋体"/>
                <w:sz w:val="24"/>
              </w:rPr>
            </w:pPr>
            <w:r>
              <w:rPr>
                <w:rFonts w:hint="eastAsia" w:ascii="宋体" w:hAnsi="宋体"/>
                <w:sz w:val="24"/>
              </w:rPr>
              <w:t>集中采购机构</w:t>
            </w:r>
          </w:p>
        </w:tc>
        <w:tc>
          <w:tcPr>
            <w:tcW w:w="6032" w:type="dxa"/>
            <w:vAlign w:val="center"/>
          </w:tcPr>
          <w:p w14:paraId="15E860AC">
            <w:pPr>
              <w:spacing w:before="180" w:beforeLines="75" w:line="360" w:lineRule="auto"/>
              <w:rPr>
                <w:rFonts w:ascii="宋体" w:hAnsi="宋体"/>
                <w:sz w:val="24"/>
              </w:rPr>
            </w:pPr>
            <w:r>
              <w:rPr>
                <w:rFonts w:hint="eastAsia" w:ascii="宋体" w:hAnsi="宋体"/>
                <w:sz w:val="24"/>
              </w:rPr>
              <w:t>集中采购机构：长春净月高新技术产业开发区政府采购中心</w:t>
            </w:r>
          </w:p>
          <w:p w14:paraId="0ED150F9">
            <w:pPr>
              <w:spacing w:before="180" w:beforeLines="75" w:line="360" w:lineRule="auto"/>
              <w:rPr>
                <w:rFonts w:ascii="宋体" w:hAnsi="宋体"/>
                <w:sz w:val="24"/>
              </w:rPr>
            </w:pPr>
            <w:r>
              <w:rPr>
                <w:rFonts w:hint="eastAsia" w:ascii="宋体" w:hAnsi="宋体"/>
                <w:sz w:val="24"/>
              </w:rPr>
              <w:t>地址：长春净月高新技术产业开发区红梅街1号政务服务中心2楼223室</w:t>
            </w:r>
          </w:p>
          <w:p w14:paraId="0F1C1390">
            <w:pPr>
              <w:spacing w:before="180" w:beforeLines="75" w:line="360" w:lineRule="auto"/>
              <w:rPr>
                <w:rFonts w:ascii="宋体" w:hAnsi="宋体"/>
                <w:sz w:val="24"/>
              </w:rPr>
            </w:pPr>
            <w:r>
              <w:rPr>
                <w:rFonts w:hint="eastAsia" w:ascii="宋体" w:hAnsi="宋体"/>
                <w:sz w:val="24"/>
              </w:rPr>
              <w:t>联系人：朱丽</w:t>
            </w:r>
          </w:p>
          <w:p w14:paraId="43272A25">
            <w:pPr>
              <w:spacing w:line="360" w:lineRule="auto"/>
              <w:rPr>
                <w:rFonts w:ascii="宋体" w:hAnsi="宋体"/>
                <w:sz w:val="24"/>
              </w:rPr>
            </w:pPr>
            <w:r>
              <w:rPr>
                <w:rFonts w:hint="eastAsia" w:ascii="宋体" w:hAnsi="宋体"/>
                <w:sz w:val="24"/>
              </w:rPr>
              <w:t>电话：</w:t>
            </w:r>
            <w:bookmarkStart w:id="18" w:name="OLE_LINK12"/>
            <w:r>
              <w:rPr>
                <w:rFonts w:ascii="宋体" w:hAnsi="宋体"/>
                <w:sz w:val="24"/>
              </w:rPr>
              <w:t>0431-845</w:t>
            </w:r>
            <w:r>
              <w:rPr>
                <w:rFonts w:hint="eastAsia" w:ascii="宋体" w:hAnsi="宋体"/>
                <w:sz w:val="24"/>
              </w:rPr>
              <w:t>32410</w:t>
            </w:r>
            <w:bookmarkEnd w:id="18"/>
          </w:p>
        </w:tc>
      </w:tr>
      <w:tr w14:paraId="7311E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96" w:type="dxa"/>
            <w:vAlign w:val="center"/>
          </w:tcPr>
          <w:p w14:paraId="22CBC642">
            <w:pPr>
              <w:spacing w:before="180" w:beforeLines="75" w:line="360" w:lineRule="auto"/>
              <w:jc w:val="center"/>
              <w:rPr>
                <w:rFonts w:ascii="宋体" w:hAnsi="宋体"/>
                <w:sz w:val="24"/>
              </w:rPr>
            </w:pPr>
            <w:r>
              <w:rPr>
                <w:rFonts w:hint="eastAsia" w:ascii="宋体" w:hAnsi="宋体"/>
                <w:sz w:val="24"/>
              </w:rPr>
              <w:t>3</w:t>
            </w:r>
          </w:p>
        </w:tc>
        <w:tc>
          <w:tcPr>
            <w:tcW w:w="1134" w:type="dxa"/>
            <w:vAlign w:val="center"/>
          </w:tcPr>
          <w:p w14:paraId="7E8188F8">
            <w:pPr>
              <w:spacing w:before="180" w:beforeLines="75" w:line="360" w:lineRule="auto"/>
              <w:jc w:val="center"/>
              <w:rPr>
                <w:rFonts w:ascii="宋体" w:hAnsi="宋体"/>
                <w:sz w:val="24"/>
              </w:rPr>
            </w:pPr>
            <w:r>
              <w:rPr>
                <w:rFonts w:hint="eastAsia" w:ascii="宋体" w:hAnsi="宋体"/>
                <w:sz w:val="24"/>
              </w:rPr>
              <w:t>1.4</w:t>
            </w:r>
          </w:p>
        </w:tc>
        <w:tc>
          <w:tcPr>
            <w:tcW w:w="1531" w:type="dxa"/>
            <w:vAlign w:val="center"/>
          </w:tcPr>
          <w:p w14:paraId="4A709EBC">
            <w:pPr>
              <w:spacing w:before="180" w:beforeLines="75" w:line="360" w:lineRule="auto"/>
              <w:jc w:val="center"/>
              <w:rPr>
                <w:rFonts w:ascii="宋体" w:hAnsi="宋体"/>
                <w:sz w:val="24"/>
              </w:rPr>
            </w:pPr>
            <w:r>
              <w:rPr>
                <w:rFonts w:hint="eastAsia" w:ascii="宋体" w:hAnsi="宋体"/>
                <w:sz w:val="24"/>
              </w:rPr>
              <w:t>项目名称及项目编号</w:t>
            </w:r>
          </w:p>
        </w:tc>
        <w:tc>
          <w:tcPr>
            <w:tcW w:w="6032" w:type="dxa"/>
            <w:vAlign w:val="center"/>
          </w:tcPr>
          <w:p w14:paraId="5D8669E3">
            <w:pPr>
              <w:spacing w:before="180" w:beforeLines="75" w:line="360" w:lineRule="auto"/>
              <w:rPr>
                <w:rFonts w:ascii="宋体" w:hAnsi="宋体"/>
                <w:sz w:val="24"/>
              </w:rPr>
            </w:pPr>
            <w:r>
              <w:rPr>
                <w:rFonts w:hint="eastAsia" w:ascii="宋体" w:hAnsi="宋体"/>
                <w:sz w:val="24"/>
              </w:rPr>
              <w:t>项目名称：长春净月高新技术产业开发区</w:t>
            </w:r>
            <w:r>
              <w:rPr>
                <w:rFonts w:hint="eastAsia" w:ascii="宋体" w:hAnsi="宋体"/>
                <w:sz w:val="24"/>
                <w:lang w:eastAsia="zh-CN"/>
              </w:rPr>
              <w:t>教育</w:t>
            </w:r>
            <w:r>
              <w:rPr>
                <w:rFonts w:hint="eastAsia" w:ascii="宋体" w:hAnsi="宋体"/>
                <w:sz w:val="24"/>
              </w:rPr>
              <w:t>局</w:t>
            </w:r>
            <w:r>
              <w:rPr>
                <w:rFonts w:hint="eastAsia" w:ascii="宋体" w:hAnsi="宋体"/>
                <w:sz w:val="24"/>
                <w:lang w:val="en-US" w:eastAsia="zh-CN"/>
              </w:rPr>
              <w:t>2025年薄弱环节改善</w:t>
            </w:r>
            <w:r>
              <w:rPr>
                <w:rFonts w:hint="eastAsia" w:ascii="宋体" w:hAnsi="宋体"/>
                <w:sz w:val="24"/>
              </w:rPr>
              <w:t xml:space="preserve">采购项目            </w:t>
            </w:r>
          </w:p>
          <w:p w14:paraId="08991045">
            <w:pPr>
              <w:spacing w:before="180" w:beforeLines="75" w:line="360" w:lineRule="auto"/>
              <w:rPr>
                <w:rFonts w:ascii="宋体" w:hAnsi="宋体"/>
                <w:sz w:val="24"/>
              </w:rPr>
            </w:pPr>
            <w:r>
              <w:rPr>
                <w:rFonts w:hint="eastAsia" w:ascii="宋体" w:hAnsi="宋体"/>
                <w:sz w:val="24"/>
              </w:rPr>
              <w:t>项目编号：c</w:t>
            </w:r>
            <w:r>
              <w:rPr>
                <w:rFonts w:ascii="宋体" w:hAnsi="宋体"/>
                <w:sz w:val="24"/>
              </w:rPr>
              <w:t>cjy</w:t>
            </w:r>
            <w:r>
              <w:rPr>
                <w:rFonts w:hint="eastAsia" w:ascii="宋体" w:hAnsi="宋体"/>
                <w:sz w:val="24"/>
              </w:rPr>
              <w:t>-[202</w:t>
            </w:r>
            <w:r>
              <w:rPr>
                <w:rFonts w:hint="eastAsia" w:ascii="宋体" w:hAnsi="宋体"/>
                <w:sz w:val="24"/>
                <w:lang w:val="en-US" w:eastAsia="zh-CN"/>
              </w:rPr>
              <w:t>6</w:t>
            </w:r>
            <w:r>
              <w:rPr>
                <w:rFonts w:hint="eastAsia" w:ascii="宋体" w:hAnsi="宋体"/>
                <w:sz w:val="24"/>
              </w:rPr>
              <w:t>]-00</w:t>
            </w:r>
            <w:r>
              <w:rPr>
                <w:rFonts w:hint="eastAsia" w:ascii="宋体" w:hAnsi="宋体"/>
                <w:sz w:val="24"/>
                <w:lang w:val="en-US" w:eastAsia="zh-CN"/>
              </w:rPr>
              <w:t>004</w:t>
            </w:r>
            <w:r>
              <w:rPr>
                <w:rFonts w:hint="eastAsia" w:ascii="宋体" w:hAnsi="宋体"/>
                <w:sz w:val="24"/>
              </w:rPr>
              <w:t>号-</w:t>
            </w:r>
            <w:r>
              <w:rPr>
                <w:rFonts w:ascii="宋体" w:hAnsi="宋体"/>
                <w:sz w:val="24"/>
              </w:rPr>
              <w:t>0</w:t>
            </w:r>
            <w:r>
              <w:rPr>
                <w:rFonts w:hint="eastAsia" w:ascii="宋体" w:hAnsi="宋体"/>
                <w:sz w:val="24"/>
              </w:rPr>
              <w:t>1</w:t>
            </w:r>
          </w:p>
        </w:tc>
      </w:tr>
      <w:tr w14:paraId="68983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96" w:type="dxa"/>
            <w:vAlign w:val="center"/>
          </w:tcPr>
          <w:p w14:paraId="10304A34">
            <w:pPr>
              <w:spacing w:before="180" w:beforeLines="75" w:line="360" w:lineRule="auto"/>
              <w:jc w:val="center"/>
              <w:rPr>
                <w:rFonts w:ascii="宋体" w:hAnsi="宋体"/>
                <w:sz w:val="24"/>
              </w:rPr>
            </w:pPr>
            <w:r>
              <w:rPr>
                <w:rFonts w:hint="eastAsia" w:ascii="宋体" w:hAnsi="宋体"/>
                <w:sz w:val="24"/>
              </w:rPr>
              <w:t>4</w:t>
            </w:r>
          </w:p>
        </w:tc>
        <w:tc>
          <w:tcPr>
            <w:tcW w:w="1134" w:type="dxa"/>
            <w:vAlign w:val="center"/>
          </w:tcPr>
          <w:p w14:paraId="279B6F5B">
            <w:pPr>
              <w:spacing w:before="180" w:beforeLines="75" w:line="360" w:lineRule="auto"/>
              <w:jc w:val="center"/>
              <w:rPr>
                <w:rFonts w:ascii="宋体" w:hAnsi="宋体"/>
                <w:sz w:val="24"/>
              </w:rPr>
            </w:pPr>
            <w:r>
              <w:rPr>
                <w:rFonts w:hint="eastAsia" w:ascii="宋体" w:hAnsi="宋体"/>
                <w:sz w:val="24"/>
              </w:rPr>
              <w:t>1.5</w:t>
            </w:r>
          </w:p>
        </w:tc>
        <w:tc>
          <w:tcPr>
            <w:tcW w:w="1531" w:type="dxa"/>
            <w:vAlign w:val="center"/>
          </w:tcPr>
          <w:p w14:paraId="110BADF5">
            <w:pPr>
              <w:spacing w:before="180" w:beforeLines="75" w:line="360" w:lineRule="auto"/>
              <w:jc w:val="center"/>
              <w:rPr>
                <w:rFonts w:ascii="宋体" w:hAnsi="宋体"/>
                <w:sz w:val="24"/>
              </w:rPr>
            </w:pPr>
            <w:r>
              <w:rPr>
                <w:rFonts w:hint="eastAsia" w:ascii="宋体" w:hAnsi="宋体"/>
                <w:sz w:val="24"/>
              </w:rPr>
              <w:t>项目地点</w:t>
            </w:r>
          </w:p>
        </w:tc>
        <w:tc>
          <w:tcPr>
            <w:tcW w:w="6032" w:type="dxa"/>
            <w:vAlign w:val="center"/>
          </w:tcPr>
          <w:p w14:paraId="081D56D1">
            <w:pPr>
              <w:spacing w:before="180" w:beforeLines="75" w:line="360" w:lineRule="auto"/>
              <w:rPr>
                <w:rFonts w:ascii="宋体" w:hAnsi="宋体"/>
                <w:sz w:val="24"/>
              </w:rPr>
            </w:pPr>
            <w:r>
              <w:rPr>
                <w:rFonts w:hint="eastAsia" w:ascii="宋体" w:hAnsi="宋体"/>
                <w:kern w:val="0"/>
                <w:sz w:val="24"/>
              </w:rPr>
              <w:t>长春净月高新技术产业开发区</w:t>
            </w:r>
            <w:r>
              <w:rPr>
                <w:rFonts w:hint="eastAsia" w:ascii="宋体" w:hAnsi="宋体"/>
                <w:kern w:val="0"/>
                <w:sz w:val="24"/>
                <w:lang w:eastAsia="zh-CN"/>
              </w:rPr>
              <w:t>教育</w:t>
            </w:r>
            <w:r>
              <w:rPr>
                <w:rFonts w:hint="eastAsia" w:ascii="宋体" w:hAnsi="宋体"/>
                <w:kern w:val="0"/>
                <w:sz w:val="24"/>
              </w:rPr>
              <w:t>局</w:t>
            </w:r>
          </w:p>
        </w:tc>
      </w:tr>
      <w:tr w14:paraId="5B533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596" w:type="dxa"/>
            <w:vAlign w:val="center"/>
          </w:tcPr>
          <w:p w14:paraId="325C0F3E">
            <w:pPr>
              <w:spacing w:before="180" w:beforeLines="75" w:line="360" w:lineRule="auto"/>
              <w:jc w:val="center"/>
              <w:rPr>
                <w:rFonts w:ascii="宋体" w:hAnsi="宋体"/>
                <w:sz w:val="24"/>
              </w:rPr>
            </w:pPr>
            <w:r>
              <w:rPr>
                <w:rFonts w:hint="eastAsia" w:ascii="宋体" w:hAnsi="宋体"/>
                <w:sz w:val="24"/>
              </w:rPr>
              <w:t>5</w:t>
            </w:r>
          </w:p>
        </w:tc>
        <w:tc>
          <w:tcPr>
            <w:tcW w:w="1134" w:type="dxa"/>
            <w:vAlign w:val="center"/>
          </w:tcPr>
          <w:p w14:paraId="10C17952">
            <w:pPr>
              <w:spacing w:before="180" w:beforeLines="75" w:line="360" w:lineRule="auto"/>
              <w:jc w:val="center"/>
              <w:rPr>
                <w:rFonts w:ascii="宋体" w:hAnsi="宋体"/>
                <w:sz w:val="24"/>
              </w:rPr>
            </w:pPr>
            <w:r>
              <w:rPr>
                <w:rFonts w:hint="eastAsia" w:ascii="宋体" w:hAnsi="宋体"/>
                <w:sz w:val="24"/>
              </w:rPr>
              <w:t>2</w:t>
            </w:r>
          </w:p>
        </w:tc>
        <w:tc>
          <w:tcPr>
            <w:tcW w:w="1531" w:type="dxa"/>
            <w:vAlign w:val="center"/>
          </w:tcPr>
          <w:p w14:paraId="6957F051">
            <w:pPr>
              <w:spacing w:before="180" w:beforeLines="75" w:line="360" w:lineRule="auto"/>
              <w:jc w:val="center"/>
              <w:rPr>
                <w:rFonts w:ascii="宋体" w:hAnsi="宋体"/>
                <w:sz w:val="24"/>
              </w:rPr>
            </w:pPr>
            <w:r>
              <w:rPr>
                <w:rFonts w:hint="eastAsia" w:ascii="宋体" w:hAnsi="宋体"/>
                <w:sz w:val="24"/>
              </w:rPr>
              <w:t>资金来源及落实情况</w:t>
            </w:r>
          </w:p>
        </w:tc>
        <w:tc>
          <w:tcPr>
            <w:tcW w:w="6032" w:type="dxa"/>
            <w:vAlign w:val="center"/>
          </w:tcPr>
          <w:p w14:paraId="6DAB2FBC">
            <w:pPr>
              <w:spacing w:before="180" w:beforeLines="75" w:line="360" w:lineRule="auto"/>
              <w:rPr>
                <w:rFonts w:ascii="宋体" w:hAnsi="宋体"/>
                <w:sz w:val="24"/>
              </w:rPr>
            </w:pPr>
            <w:r>
              <w:rPr>
                <w:rFonts w:hint="eastAsia" w:ascii="宋体" w:hAnsi="宋体"/>
                <w:sz w:val="24"/>
              </w:rPr>
              <w:t>财政拨款，已落实</w:t>
            </w:r>
          </w:p>
        </w:tc>
      </w:tr>
      <w:tr w14:paraId="0EF3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596" w:type="dxa"/>
            <w:vAlign w:val="center"/>
          </w:tcPr>
          <w:p w14:paraId="2275F1BC">
            <w:pPr>
              <w:spacing w:before="180" w:beforeLines="75" w:line="360" w:lineRule="auto"/>
              <w:jc w:val="center"/>
              <w:rPr>
                <w:rFonts w:ascii="宋体" w:hAnsi="宋体"/>
                <w:sz w:val="24"/>
              </w:rPr>
            </w:pPr>
            <w:r>
              <w:rPr>
                <w:rFonts w:hint="eastAsia" w:ascii="宋体" w:hAnsi="宋体"/>
                <w:sz w:val="24"/>
              </w:rPr>
              <w:t>6</w:t>
            </w:r>
          </w:p>
        </w:tc>
        <w:tc>
          <w:tcPr>
            <w:tcW w:w="1134" w:type="dxa"/>
            <w:vAlign w:val="center"/>
          </w:tcPr>
          <w:p w14:paraId="21C7747E">
            <w:pPr>
              <w:spacing w:before="180" w:beforeLines="75" w:line="360" w:lineRule="auto"/>
              <w:jc w:val="center"/>
              <w:rPr>
                <w:rFonts w:ascii="宋体" w:hAnsi="宋体"/>
                <w:sz w:val="24"/>
              </w:rPr>
            </w:pPr>
            <w:r>
              <w:rPr>
                <w:rFonts w:hint="eastAsia" w:ascii="宋体" w:hAnsi="宋体"/>
                <w:sz w:val="24"/>
              </w:rPr>
              <w:t>3.1</w:t>
            </w:r>
          </w:p>
        </w:tc>
        <w:tc>
          <w:tcPr>
            <w:tcW w:w="1531" w:type="dxa"/>
            <w:vAlign w:val="center"/>
          </w:tcPr>
          <w:p w14:paraId="7BCCCC47">
            <w:pPr>
              <w:pStyle w:val="49"/>
              <w:widowControl w:val="0"/>
              <w:spacing w:before="180" w:beforeLines="75" w:beforeAutospacing="0" w:after="0" w:afterAutospacing="0" w:line="360" w:lineRule="auto"/>
              <w:rPr>
                <w:rFonts w:asciiTheme="minorEastAsia" w:hAnsiTheme="minorEastAsia" w:eastAsiaTheme="minorEastAsia"/>
                <w:kern w:val="2"/>
              </w:rPr>
            </w:pPr>
            <w:r>
              <w:rPr>
                <w:rFonts w:hint="eastAsia" w:asciiTheme="minorEastAsia" w:hAnsiTheme="minorEastAsia" w:eastAsiaTheme="minorEastAsia"/>
              </w:rPr>
              <w:t>谈判内容</w:t>
            </w:r>
          </w:p>
        </w:tc>
        <w:tc>
          <w:tcPr>
            <w:tcW w:w="6032" w:type="dxa"/>
            <w:vAlign w:val="center"/>
          </w:tcPr>
          <w:p w14:paraId="7AC5BD12">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具体详见谈判文件第二章项目需求。</w:t>
            </w:r>
          </w:p>
        </w:tc>
      </w:tr>
      <w:tr w14:paraId="0F176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96" w:type="dxa"/>
            <w:vAlign w:val="center"/>
          </w:tcPr>
          <w:p w14:paraId="275E6D6E">
            <w:pPr>
              <w:spacing w:before="180" w:beforeLines="75" w:line="360" w:lineRule="auto"/>
              <w:jc w:val="center"/>
              <w:rPr>
                <w:rFonts w:ascii="宋体" w:hAnsi="宋体"/>
                <w:sz w:val="24"/>
              </w:rPr>
            </w:pPr>
            <w:r>
              <w:rPr>
                <w:rFonts w:hint="eastAsia" w:ascii="宋体" w:hAnsi="宋体"/>
                <w:sz w:val="24"/>
              </w:rPr>
              <w:t>7</w:t>
            </w:r>
          </w:p>
        </w:tc>
        <w:tc>
          <w:tcPr>
            <w:tcW w:w="1134" w:type="dxa"/>
            <w:vAlign w:val="center"/>
          </w:tcPr>
          <w:p w14:paraId="6C98DB8A">
            <w:pPr>
              <w:spacing w:before="180" w:beforeLines="75" w:line="360" w:lineRule="auto"/>
              <w:jc w:val="center"/>
              <w:rPr>
                <w:rFonts w:ascii="宋体" w:hAnsi="宋体"/>
                <w:sz w:val="24"/>
              </w:rPr>
            </w:pPr>
            <w:r>
              <w:rPr>
                <w:rFonts w:hint="eastAsia" w:ascii="宋体" w:hAnsi="宋体"/>
                <w:sz w:val="24"/>
              </w:rPr>
              <w:t>3.2</w:t>
            </w:r>
          </w:p>
        </w:tc>
        <w:tc>
          <w:tcPr>
            <w:tcW w:w="1531" w:type="dxa"/>
            <w:vAlign w:val="center"/>
          </w:tcPr>
          <w:p w14:paraId="3F2B4162">
            <w:pPr>
              <w:spacing w:before="180" w:beforeLines="75" w:line="360" w:lineRule="auto"/>
              <w:jc w:val="center"/>
              <w:rPr>
                <w:rFonts w:ascii="宋体" w:hAnsi="宋体"/>
                <w:sz w:val="24"/>
              </w:rPr>
            </w:pPr>
            <w:r>
              <w:rPr>
                <w:rFonts w:hint="eastAsia" w:ascii="宋体" w:hAnsi="宋体"/>
                <w:sz w:val="24"/>
              </w:rPr>
              <w:t>供货期</w:t>
            </w:r>
          </w:p>
        </w:tc>
        <w:tc>
          <w:tcPr>
            <w:tcW w:w="6032" w:type="dxa"/>
            <w:vAlign w:val="center"/>
          </w:tcPr>
          <w:p w14:paraId="79781701">
            <w:pPr>
              <w:spacing w:line="360" w:lineRule="auto"/>
              <w:rPr>
                <w:rFonts w:ascii="宋体" w:hAnsi="宋体"/>
                <w:kern w:val="0"/>
                <w:sz w:val="24"/>
              </w:rPr>
            </w:pPr>
            <w:r>
              <w:rPr>
                <w:rFonts w:hint="eastAsia" w:ascii="宋体" w:hAnsi="宋体"/>
                <w:color w:val="000000" w:themeColor="text1"/>
                <w:kern w:val="0"/>
                <w:sz w:val="24"/>
                <w14:textFill>
                  <w14:solidFill>
                    <w14:schemeClr w14:val="tx1"/>
                  </w14:solidFill>
                </w14:textFill>
              </w:rPr>
              <w:t>自合同执行之日起30个日历天内。</w:t>
            </w:r>
          </w:p>
        </w:tc>
      </w:tr>
      <w:tr w14:paraId="21CCF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96" w:type="dxa"/>
            <w:vAlign w:val="center"/>
          </w:tcPr>
          <w:p w14:paraId="1031F320">
            <w:pPr>
              <w:spacing w:before="180" w:beforeLines="75" w:line="360" w:lineRule="auto"/>
              <w:jc w:val="center"/>
              <w:rPr>
                <w:rFonts w:ascii="宋体" w:hAnsi="宋体"/>
                <w:sz w:val="24"/>
              </w:rPr>
            </w:pPr>
            <w:r>
              <w:rPr>
                <w:rFonts w:hint="eastAsia" w:ascii="宋体" w:hAnsi="宋体"/>
                <w:sz w:val="24"/>
              </w:rPr>
              <w:t>8</w:t>
            </w:r>
          </w:p>
        </w:tc>
        <w:tc>
          <w:tcPr>
            <w:tcW w:w="1134" w:type="dxa"/>
            <w:vAlign w:val="center"/>
          </w:tcPr>
          <w:p w14:paraId="6748BA09">
            <w:pPr>
              <w:spacing w:before="180" w:beforeLines="75" w:line="360" w:lineRule="auto"/>
              <w:jc w:val="center"/>
              <w:rPr>
                <w:rFonts w:ascii="宋体" w:hAnsi="宋体"/>
                <w:sz w:val="24"/>
              </w:rPr>
            </w:pPr>
            <w:r>
              <w:rPr>
                <w:rFonts w:hint="eastAsia" w:ascii="宋体" w:hAnsi="宋体"/>
                <w:sz w:val="24"/>
              </w:rPr>
              <w:t>3.3</w:t>
            </w:r>
          </w:p>
        </w:tc>
        <w:tc>
          <w:tcPr>
            <w:tcW w:w="1531" w:type="dxa"/>
            <w:vAlign w:val="center"/>
          </w:tcPr>
          <w:p w14:paraId="6C15D9F0">
            <w:pPr>
              <w:spacing w:before="180" w:beforeLines="75" w:line="360" w:lineRule="auto"/>
              <w:jc w:val="center"/>
              <w:rPr>
                <w:rFonts w:ascii="宋体" w:hAnsi="宋体"/>
                <w:sz w:val="24"/>
              </w:rPr>
            </w:pPr>
            <w:r>
              <w:rPr>
                <w:rFonts w:hint="eastAsia" w:ascii="宋体" w:hAnsi="宋体"/>
                <w:sz w:val="24"/>
              </w:rPr>
              <w:t>质量要求</w:t>
            </w:r>
          </w:p>
        </w:tc>
        <w:tc>
          <w:tcPr>
            <w:tcW w:w="6032" w:type="dxa"/>
            <w:vAlign w:val="center"/>
          </w:tcPr>
          <w:p w14:paraId="1D56B0E5">
            <w:pPr>
              <w:spacing w:before="180" w:beforeLines="75" w:line="360" w:lineRule="auto"/>
              <w:rPr>
                <w:rFonts w:ascii="宋体" w:hAnsi="宋体"/>
                <w:sz w:val="24"/>
              </w:rPr>
            </w:pPr>
            <w:r>
              <w:rPr>
                <w:rFonts w:hint="eastAsia" w:ascii="宋体" w:hAnsi="宋体"/>
                <w:sz w:val="24"/>
              </w:rPr>
              <w:t>符合国家相关行业规定的合格标准。</w:t>
            </w:r>
          </w:p>
        </w:tc>
      </w:tr>
      <w:tr w14:paraId="7A103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596" w:type="dxa"/>
            <w:vAlign w:val="center"/>
          </w:tcPr>
          <w:p w14:paraId="4F8B0D84">
            <w:pPr>
              <w:spacing w:before="180" w:beforeLines="75" w:line="360" w:lineRule="auto"/>
              <w:jc w:val="center"/>
              <w:rPr>
                <w:rFonts w:ascii="宋体" w:hAnsi="宋体"/>
                <w:sz w:val="24"/>
              </w:rPr>
            </w:pPr>
            <w:r>
              <w:rPr>
                <w:rFonts w:hint="eastAsia" w:ascii="宋体" w:hAnsi="宋体"/>
                <w:sz w:val="24"/>
              </w:rPr>
              <w:t>9</w:t>
            </w:r>
          </w:p>
        </w:tc>
        <w:tc>
          <w:tcPr>
            <w:tcW w:w="1134" w:type="dxa"/>
            <w:vAlign w:val="center"/>
          </w:tcPr>
          <w:p w14:paraId="24925F24">
            <w:pPr>
              <w:spacing w:before="180" w:beforeLines="75" w:line="360" w:lineRule="auto"/>
              <w:jc w:val="center"/>
              <w:rPr>
                <w:rFonts w:ascii="宋体" w:hAnsi="宋体"/>
                <w:sz w:val="24"/>
              </w:rPr>
            </w:pPr>
            <w:r>
              <w:rPr>
                <w:rFonts w:hint="eastAsia" w:ascii="宋体" w:hAnsi="宋体"/>
                <w:sz w:val="24"/>
              </w:rPr>
              <w:t>4.1</w:t>
            </w:r>
          </w:p>
        </w:tc>
        <w:tc>
          <w:tcPr>
            <w:tcW w:w="1531" w:type="dxa"/>
            <w:vAlign w:val="center"/>
          </w:tcPr>
          <w:p w14:paraId="1E58A7EB">
            <w:pPr>
              <w:spacing w:before="180" w:beforeLines="75" w:line="360" w:lineRule="auto"/>
              <w:jc w:val="center"/>
              <w:rPr>
                <w:rFonts w:ascii="宋体" w:hAnsi="宋体"/>
                <w:sz w:val="24"/>
              </w:rPr>
            </w:pPr>
            <w:r>
              <w:rPr>
                <w:rFonts w:hint="eastAsia" w:ascii="宋体" w:hAnsi="宋体"/>
                <w:sz w:val="24"/>
              </w:rPr>
              <w:t>响应谈判供应商的资格标准与合格条件</w:t>
            </w:r>
          </w:p>
        </w:tc>
        <w:tc>
          <w:tcPr>
            <w:tcW w:w="6032" w:type="dxa"/>
            <w:vAlign w:val="center"/>
          </w:tcPr>
          <w:p w14:paraId="4A2EB2EB">
            <w:pPr>
              <w:spacing w:line="360" w:lineRule="auto"/>
              <w:rPr>
                <w:rFonts w:ascii="宋体" w:hAnsi="宋体" w:cs="宋体"/>
                <w:sz w:val="24"/>
              </w:rPr>
            </w:pPr>
            <w:r>
              <w:rPr>
                <w:rFonts w:hint="eastAsia" w:ascii="宋体" w:hAnsi="宋体" w:cs="宋体"/>
                <w:sz w:val="24"/>
              </w:rPr>
              <w:t>1.满足《中华人民共和国政府采购法》第二十二条规定；</w:t>
            </w:r>
          </w:p>
          <w:p w14:paraId="7C92C552">
            <w:pPr>
              <w:spacing w:line="360" w:lineRule="auto"/>
              <w:rPr>
                <w:rFonts w:ascii="宋体" w:hAnsi="宋体"/>
                <w:kern w:val="0"/>
                <w:sz w:val="24"/>
              </w:rPr>
            </w:pPr>
            <w:r>
              <w:rPr>
                <w:rFonts w:hint="eastAsia" w:ascii="宋体" w:hAnsi="宋体"/>
                <w:kern w:val="0"/>
                <w:sz w:val="24"/>
              </w:rPr>
              <w:t>2.响应谈判供应商应具备本项目标的的相关服务能力；</w:t>
            </w:r>
          </w:p>
          <w:p w14:paraId="25A8E6D5">
            <w:pPr>
              <w:spacing w:line="360" w:lineRule="auto"/>
              <w:rPr>
                <w:rFonts w:ascii="宋体" w:hAnsi="宋体"/>
                <w:kern w:val="0"/>
                <w:sz w:val="24"/>
              </w:rPr>
            </w:pPr>
            <w:r>
              <w:rPr>
                <w:rFonts w:ascii="宋体" w:hAnsi="宋体"/>
                <w:kern w:val="0"/>
                <w:sz w:val="24"/>
              </w:rPr>
              <w:t>3</w:t>
            </w:r>
            <w:r>
              <w:rPr>
                <w:rFonts w:hint="eastAsia" w:ascii="宋体" w:hAnsi="宋体"/>
                <w:kern w:val="0"/>
                <w:sz w:val="24"/>
              </w:rPr>
              <w:t>.落实政府采购政策需满足的资格要求：本项目</w:t>
            </w:r>
            <w:r>
              <w:rPr>
                <w:rFonts w:hint="eastAsia" w:ascii="宋体" w:hAnsi="宋体"/>
                <w:kern w:val="0"/>
                <w:sz w:val="24"/>
                <w:lang w:eastAsia="zh-CN"/>
              </w:rPr>
              <w:t>不</w:t>
            </w:r>
            <w:r>
              <w:rPr>
                <w:rFonts w:hint="eastAsia" w:ascii="宋体" w:hAnsi="宋体"/>
                <w:kern w:val="0"/>
                <w:sz w:val="24"/>
              </w:rPr>
              <w:t>专门面向中小</w:t>
            </w:r>
            <w:r>
              <w:rPr>
                <w:rFonts w:ascii="宋体" w:hAnsi="宋体"/>
                <w:kern w:val="0"/>
                <w:sz w:val="24"/>
              </w:rPr>
              <w:t>企业采购</w:t>
            </w:r>
            <w:r>
              <w:rPr>
                <w:rFonts w:hint="eastAsia" w:ascii="宋体" w:hAnsi="宋体"/>
                <w:kern w:val="0"/>
                <w:sz w:val="24"/>
              </w:rPr>
              <w:t>；</w:t>
            </w:r>
          </w:p>
          <w:p w14:paraId="5BAC3F96">
            <w:pPr>
              <w:spacing w:line="360" w:lineRule="auto"/>
              <w:rPr>
                <w:rFonts w:ascii="宋体" w:hAnsi="宋体"/>
                <w:sz w:val="24"/>
              </w:rPr>
            </w:pPr>
            <w:r>
              <w:rPr>
                <w:rFonts w:hint="eastAsia" w:ascii="宋体" w:hAnsi="宋体"/>
                <w:kern w:val="0"/>
                <w:sz w:val="24"/>
              </w:rPr>
              <w:t>4.在“信用中国”网站（www.creditchina.gov.cn）、中国政府采购网（www.ccgp.gov.cn）等渠道未被列入失信被执行人、重大税收违法案件当事人名单、政府采购严重违法失信行为记录名单。</w:t>
            </w:r>
          </w:p>
        </w:tc>
      </w:tr>
      <w:tr w14:paraId="0B6C5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96" w:type="dxa"/>
            <w:vAlign w:val="center"/>
          </w:tcPr>
          <w:p w14:paraId="5C49DC7D">
            <w:pPr>
              <w:spacing w:before="180" w:beforeLines="75" w:line="360" w:lineRule="auto"/>
              <w:jc w:val="center"/>
              <w:rPr>
                <w:rFonts w:ascii="宋体" w:hAnsi="宋体"/>
                <w:sz w:val="24"/>
              </w:rPr>
            </w:pPr>
            <w:r>
              <w:rPr>
                <w:rFonts w:hint="eastAsia" w:ascii="宋体" w:hAnsi="宋体"/>
                <w:sz w:val="24"/>
              </w:rPr>
              <w:t>10</w:t>
            </w:r>
          </w:p>
        </w:tc>
        <w:tc>
          <w:tcPr>
            <w:tcW w:w="1134" w:type="dxa"/>
            <w:vAlign w:val="center"/>
          </w:tcPr>
          <w:p w14:paraId="189C86A6">
            <w:pPr>
              <w:spacing w:before="180" w:beforeLines="75" w:line="360" w:lineRule="auto"/>
              <w:jc w:val="center"/>
              <w:rPr>
                <w:rFonts w:ascii="宋体" w:hAnsi="宋体"/>
                <w:sz w:val="24"/>
              </w:rPr>
            </w:pPr>
            <w:r>
              <w:rPr>
                <w:rFonts w:hint="eastAsia" w:ascii="宋体" w:hAnsi="宋体"/>
                <w:sz w:val="24"/>
              </w:rPr>
              <w:t>4.2</w:t>
            </w:r>
          </w:p>
        </w:tc>
        <w:tc>
          <w:tcPr>
            <w:tcW w:w="1531" w:type="dxa"/>
            <w:vAlign w:val="center"/>
          </w:tcPr>
          <w:p w14:paraId="47E63C9C">
            <w:pPr>
              <w:spacing w:before="180" w:beforeLines="75" w:line="360" w:lineRule="auto"/>
              <w:jc w:val="center"/>
              <w:rPr>
                <w:rFonts w:ascii="宋体" w:hAnsi="宋体"/>
                <w:sz w:val="24"/>
              </w:rPr>
            </w:pPr>
            <w:r>
              <w:rPr>
                <w:rFonts w:hint="eastAsia" w:ascii="宋体" w:hAnsi="宋体"/>
                <w:sz w:val="24"/>
              </w:rPr>
              <w:t>是否接受联合体投标</w:t>
            </w:r>
          </w:p>
        </w:tc>
        <w:tc>
          <w:tcPr>
            <w:tcW w:w="6032" w:type="dxa"/>
            <w:vAlign w:val="center"/>
          </w:tcPr>
          <w:p w14:paraId="66B01040">
            <w:pPr>
              <w:spacing w:before="180" w:beforeLines="75" w:line="360" w:lineRule="auto"/>
              <w:rPr>
                <w:rFonts w:ascii="宋体" w:hAnsi="宋体"/>
                <w:sz w:val="24"/>
              </w:rPr>
            </w:pPr>
            <w:r>
              <w:rPr>
                <w:rFonts w:hint="eastAsia" w:ascii="宋体" w:hAnsi="宋体"/>
                <w:sz w:val="24"/>
                <w:szCs w:val="20"/>
              </w:rPr>
              <w:t>否</w:t>
            </w:r>
          </w:p>
        </w:tc>
      </w:tr>
      <w:tr w14:paraId="7EE6A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96" w:type="dxa"/>
            <w:vAlign w:val="center"/>
          </w:tcPr>
          <w:p w14:paraId="55572684">
            <w:pPr>
              <w:spacing w:before="180" w:beforeLines="75" w:line="360" w:lineRule="auto"/>
              <w:jc w:val="center"/>
              <w:rPr>
                <w:rFonts w:ascii="宋体" w:hAnsi="宋体"/>
                <w:sz w:val="24"/>
              </w:rPr>
            </w:pPr>
            <w:r>
              <w:rPr>
                <w:rFonts w:hint="eastAsia" w:ascii="宋体" w:hAnsi="宋体"/>
                <w:sz w:val="24"/>
              </w:rPr>
              <w:t>11</w:t>
            </w:r>
          </w:p>
        </w:tc>
        <w:tc>
          <w:tcPr>
            <w:tcW w:w="1134" w:type="dxa"/>
            <w:vAlign w:val="center"/>
          </w:tcPr>
          <w:p w14:paraId="0B6D6E86">
            <w:pPr>
              <w:spacing w:before="180" w:beforeLines="75" w:line="360" w:lineRule="auto"/>
              <w:jc w:val="center"/>
              <w:rPr>
                <w:rFonts w:ascii="宋体" w:hAnsi="宋体"/>
                <w:sz w:val="24"/>
              </w:rPr>
            </w:pPr>
            <w:r>
              <w:rPr>
                <w:rFonts w:hint="eastAsia" w:ascii="宋体" w:hAnsi="宋体"/>
                <w:sz w:val="24"/>
              </w:rPr>
              <w:t>8</w:t>
            </w:r>
          </w:p>
        </w:tc>
        <w:tc>
          <w:tcPr>
            <w:tcW w:w="1531" w:type="dxa"/>
            <w:vAlign w:val="center"/>
          </w:tcPr>
          <w:p w14:paraId="0035B29F">
            <w:pPr>
              <w:spacing w:before="180" w:beforeLines="75" w:line="360" w:lineRule="auto"/>
              <w:jc w:val="center"/>
              <w:rPr>
                <w:rFonts w:ascii="宋体" w:hAnsi="宋体"/>
                <w:sz w:val="24"/>
              </w:rPr>
            </w:pPr>
            <w:r>
              <w:rPr>
                <w:rFonts w:hint="eastAsia" w:ascii="宋体" w:hAnsi="宋体"/>
                <w:sz w:val="24"/>
              </w:rPr>
              <w:t>现场踏勘</w:t>
            </w:r>
          </w:p>
        </w:tc>
        <w:tc>
          <w:tcPr>
            <w:tcW w:w="6032" w:type="dxa"/>
            <w:vAlign w:val="center"/>
          </w:tcPr>
          <w:p w14:paraId="27122A1F">
            <w:pPr>
              <w:spacing w:before="180" w:beforeLines="75" w:line="360" w:lineRule="auto"/>
              <w:rPr>
                <w:rFonts w:ascii="宋体" w:hAnsi="宋体"/>
                <w:sz w:val="24"/>
              </w:rPr>
            </w:pPr>
            <w:r>
              <w:rPr>
                <w:rFonts w:hint="eastAsia" w:ascii="宋体" w:hAnsi="宋体"/>
                <w:color w:val="000000" w:themeColor="text1"/>
                <w:sz w:val="24"/>
                <w14:textFill>
                  <w14:solidFill>
                    <w14:schemeClr w14:val="tx1"/>
                  </w14:solidFill>
                </w14:textFill>
              </w:rPr>
              <w:t>本项目不组织现场踏勘。</w:t>
            </w:r>
          </w:p>
        </w:tc>
      </w:tr>
      <w:tr w14:paraId="118F0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596" w:type="dxa"/>
            <w:vAlign w:val="center"/>
          </w:tcPr>
          <w:p w14:paraId="72D9018A">
            <w:pPr>
              <w:spacing w:before="180" w:beforeLines="75" w:line="360" w:lineRule="auto"/>
              <w:jc w:val="center"/>
              <w:rPr>
                <w:rFonts w:ascii="宋体" w:hAnsi="宋体"/>
                <w:sz w:val="24"/>
              </w:rPr>
            </w:pPr>
            <w:r>
              <w:rPr>
                <w:rFonts w:hint="eastAsia" w:ascii="宋体" w:hAnsi="宋体"/>
                <w:sz w:val="24"/>
              </w:rPr>
              <w:t>12</w:t>
            </w:r>
          </w:p>
        </w:tc>
        <w:tc>
          <w:tcPr>
            <w:tcW w:w="1134" w:type="dxa"/>
            <w:vAlign w:val="center"/>
          </w:tcPr>
          <w:p w14:paraId="0A1CFDDA">
            <w:pPr>
              <w:spacing w:before="180" w:beforeLines="75" w:line="360" w:lineRule="auto"/>
              <w:jc w:val="center"/>
              <w:rPr>
                <w:rFonts w:ascii="宋体" w:hAnsi="宋体"/>
                <w:sz w:val="24"/>
              </w:rPr>
            </w:pPr>
            <w:r>
              <w:rPr>
                <w:rFonts w:hint="eastAsia" w:ascii="宋体" w:hAnsi="宋体"/>
                <w:sz w:val="24"/>
              </w:rPr>
              <w:t>9</w:t>
            </w:r>
          </w:p>
        </w:tc>
        <w:tc>
          <w:tcPr>
            <w:tcW w:w="1531" w:type="dxa"/>
            <w:vAlign w:val="center"/>
          </w:tcPr>
          <w:p w14:paraId="15434B45">
            <w:pPr>
              <w:spacing w:before="180" w:beforeLines="75" w:line="360" w:lineRule="auto"/>
              <w:jc w:val="center"/>
              <w:rPr>
                <w:rFonts w:ascii="宋体" w:hAnsi="宋体"/>
                <w:sz w:val="24"/>
              </w:rPr>
            </w:pPr>
            <w:r>
              <w:rPr>
                <w:rFonts w:hint="eastAsia" w:ascii="宋体" w:hAnsi="宋体"/>
                <w:sz w:val="24"/>
              </w:rPr>
              <w:t>答疑会</w:t>
            </w:r>
          </w:p>
        </w:tc>
        <w:tc>
          <w:tcPr>
            <w:tcW w:w="6032" w:type="dxa"/>
            <w:vAlign w:val="center"/>
          </w:tcPr>
          <w:p w14:paraId="51AB5CF3">
            <w:pPr>
              <w:spacing w:before="180" w:beforeLines="75" w:line="360" w:lineRule="auto"/>
              <w:rPr>
                <w:rFonts w:ascii="宋体" w:hAnsi="宋体"/>
                <w:sz w:val="24"/>
              </w:rPr>
            </w:pPr>
            <w:r>
              <w:rPr>
                <w:rFonts w:hint="eastAsia" w:ascii="宋体" w:hAnsi="宋体"/>
                <w:sz w:val="24"/>
              </w:rPr>
              <w:t>时间：</w:t>
            </w:r>
            <w:r>
              <w:rPr>
                <w:rFonts w:hint="eastAsia" w:ascii="宋体" w:hAnsi="宋体"/>
                <w:color w:val="000000" w:themeColor="text1"/>
                <w:sz w:val="24"/>
                <w14:textFill>
                  <w14:solidFill>
                    <w14:schemeClr w14:val="tx1"/>
                  </w14:solidFill>
                </w14:textFill>
              </w:rPr>
              <w:t>2026年</w:t>
            </w:r>
            <w:r>
              <w:rPr>
                <w:rFonts w:ascii="宋体" w:hAnsi="宋体"/>
                <w:color w:val="000000" w:themeColor="text1"/>
                <w:sz w:val="24"/>
                <w14:textFill>
                  <w14:solidFill>
                    <w14:schemeClr w14:val="tx1"/>
                  </w14:solidFill>
                </w14:textFill>
              </w:rPr>
              <w:t>0</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20</w:t>
            </w:r>
            <w:r>
              <w:rPr>
                <w:rFonts w:hint="eastAsia" w:ascii="宋体" w:hAnsi="宋体"/>
                <w:color w:val="000000" w:themeColor="text1"/>
                <w:sz w:val="24"/>
                <w14:textFill>
                  <w14:solidFill>
                    <w14:schemeClr w14:val="tx1"/>
                  </w14:solidFill>
                </w14:textFill>
              </w:rPr>
              <w:t>日</w:t>
            </w:r>
            <w:r>
              <w:rPr>
                <w:rFonts w:hint="eastAsia" w:ascii="宋体" w:hAnsi="宋体"/>
                <w:sz w:val="24"/>
              </w:rPr>
              <w:t>9：</w:t>
            </w:r>
            <w:r>
              <w:rPr>
                <w:rFonts w:ascii="宋体" w:hAnsi="宋体"/>
                <w:sz w:val="24"/>
              </w:rPr>
              <w:t>0</w:t>
            </w:r>
            <w:r>
              <w:rPr>
                <w:rFonts w:hint="eastAsia" w:ascii="宋体" w:hAnsi="宋体"/>
                <w:sz w:val="24"/>
              </w:rPr>
              <w:t>0（北京时间）</w:t>
            </w:r>
          </w:p>
          <w:p w14:paraId="3619A9AC">
            <w:pPr>
              <w:spacing w:before="180" w:beforeLines="75" w:line="360" w:lineRule="auto"/>
              <w:rPr>
                <w:rFonts w:ascii="宋体" w:hAnsi="宋体"/>
                <w:sz w:val="24"/>
              </w:rPr>
            </w:pPr>
            <w:r>
              <w:rPr>
                <w:rFonts w:hint="eastAsia" w:ascii="宋体" w:hAnsi="宋体"/>
                <w:sz w:val="24"/>
              </w:rPr>
              <w:t>地点：长春净月高新技术产业开发区红梅街1号政务服务中心2楼222室。</w:t>
            </w:r>
            <w:r>
              <w:rPr>
                <w:rFonts w:hint="eastAsia" w:ascii="宋体" w:hAnsi="宋体"/>
                <w:b/>
                <w:bCs/>
                <w:sz w:val="24"/>
              </w:rPr>
              <w:t>响应谈判供应商自愿参加或不参加。</w:t>
            </w:r>
          </w:p>
        </w:tc>
      </w:tr>
      <w:tr w14:paraId="620DE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596" w:type="dxa"/>
            <w:vAlign w:val="center"/>
          </w:tcPr>
          <w:p w14:paraId="37C067D5">
            <w:pPr>
              <w:spacing w:before="180" w:beforeLines="75" w:line="360" w:lineRule="auto"/>
              <w:jc w:val="center"/>
              <w:rPr>
                <w:rFonts w:ascii="宋体" w:hAnsi="宋体"/>
                <w:sz w:val="24"/>
              </w:rPr>
            </w:pPr>
            <w:r>
              <w:rPr>
                <w:rFonts w:hint="eastAsia" w:ascii="宋体" w:hAnsi="宋体"/>
                <w:sz w:val="24"/>
              </w:rPr>
              <w:t>13</w:t>
            </w:r>
          </w:p>
        </w:tc>
        <w:tc>
          <w:tcPr>
            <w:tcW w:w="1134" w:type="dxa"/>
            <w:vAlign w:val="center"/>
          </w:tcPr>
          <w:p w14:paraId="6B5C2ABF">
            <w:pPr>
              <w:spacing w:before="180" w:beforeLines="75" w:line="360" w:lineRule="auto"/>
              <w:jc w:val="center"/>
              <w:rPr>
                <w:rFonts w:ascii="宋体" w:hAnsi="宋体"/>
                <w:sz w:val="24"/>
              </w:rPr>
            </w:pPr>
            <w:r>
              <w:rPr>
                <w:rFonts w:hint="eastAsia" w:ascii="宋体" w:hAnsi="宋体"/>
                <w:sz w:val="24"/>
              </w:rPr>
              <w:t>10</w:t>
            </w:r>
          </w:p>
        </w:tc>
        <w:tc>
          <w:tcPr>
            <w:tcW w:w="1531" w:type="dxa"/>
            <w:vAlign w:val="center"/>
          </w:tcPr>
          <w:p w14:paraId="49E0CF75">
            <w:pPr>
              <w:spacing w:before="180" w:beforeLines="75" w:line="360" w:lineRule="auto"/>
              <w:jc w:val="center"/>
              <w:rPr>
                <w:rFonts w:ascii="宋体" w:hAnsi="宋体"/>
                <w:sz w:val="24"/>
              </w:rPr>
            </w:pPr>
            <w:r>
              <w:rPr>
                <w:rFonts w:hint="eastAsia" w:ascii="宋体" w:hAnsi="宋体"/>
                <w:sz w:val="24"/>
              </w:rPr>
              <w:t>分包</w:t>
            </w:r>
          </w:p>
        </w:tc>
        <w:tc>
          <w:tcPr>
            <w:tcW w:w="6032" w:type="dxa"/>
            <w:vAlign w:val="center"/>
          </w:tcPr>
          <w:p w14:paraId="50838EE6">
            <w:pPr>
              <w:spacing w:before="180" w:beforeLines="75" w:line="360" w:lineRule="auto"/>
              <w:rPr>
                <w:rFonts w:ascii="宋体" w:hAnsi="宋体"/>
                <w:sz w:val="24"/>
              </w:rPr>
            </w:pPr>
            <w:r>
              <w:rPr>
                <w:rFonts w:hint="eastAsia" w:ascii="宋体" w:hAnsi="宋体"/>
                <w:sz w:val="24"/>
              </w:rPr>
              <w:t>本项目不分包</w:t>
            </w:r>
          </w:p>
        </w:tc>
      </w:tr>
      <w:tr w14:paraId="4FC3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596" w:type="dxa"/>
            <w:vAlign w:val="center"/>
          </w:tcPr>
          <w:p w14:paraId="4B67345F">
            <w:pPr>
              <w:spacing w:before="180" w:beforeLines="75" w:line="360" w:lineRule="auto"/>
              <w:jc w:val="center"/>
              <w:rPr>
                <w:rFonts w:ascii="宋体" w:hAnsi="宋体"/>
                <w:sz w:val="24"/>
              </w:rPr>
            </w:pPr>
            <w:r>
              <w:rPr>
                <w:rFonts w:hint="eastAsia" w:ascii="宋体" w:hAnsi="宋体"/>
                <w:sz w:val="24"/>
              </w:rPr>
              <w:t>14</w:t>
            </w:r>
          </w:p>
        </w:tc>
        <w:tc>
          <w:tcPr>
            <w:tcW w:w="1134" w:type="dxa"/>
            <w:vAlign w:val="center"/>
          </w:tcPr>
          <w:p w14:paraId="5150F4E1">
            <w:pPr>
              <w:spacing w:before="180" w:beforeLines="75" w:line="360" w:lineRule="auto"/>
              <w:jc w:val="center"/>
              <w:rPr>
                <w:rFonts w:ascii="宋体" w:hAnsi="宋体"/>
                <w:sz w:val="24"/>
              </w:rPr>
            </w:pPr>
            <w:r>
              <w:rPr>
                <w:rFonts w:hint="eastAsia" w:ascii="宋体" w:hAnsi="宋体"/>
                <w:sz w:val="24"/>
              </w:rPr>
              <w:t>11</w:t>
            </w:r>
          </w:p>
        </w:tc>
        <w:tc>
          <w:tcPr>
            <w:tcW w:w="1531" w:type="dxa"/>
            <w:vAlign w:val="center"/>
          </w:tcPr>
          <w:p w14:paraId="29CF49CF">
            <w:pPr>
              <w:spacing w:before="180" w:beforeLines="75" w:line="360" w:lineRule="auto"/>
              <w:jc w:val="center"/>
              <w:rPr>
                <w:rFonts w:ascii="宋体" w:hAnsi="宋体"/>
                <w:sz w:val="24"/>
              </w:rPr>
            </w:pPr>
            <w:r>
              <w:rPr>
                <w:rFonts w:hint="eastAsia" w:ascii="宋体" w:hAnsi="宋体"/>
                <w:sz w:val="24"/>
              </w:rPr>
              <w:t>偏离</w:t>
            </w:r>
          </w:p>
        </w:tc>
        <w:tc>
          <w:tcPr>
            <w:tcW w:w="6032" w:type="dxa"/>
            <w:vAlign w:val="center"/>
          </w:tcPr>
          <w:p w14:paraId="104F5D86">
            <w:pPr>
              <w:spacing w:before="180" w:beforeLines="75" w:line="360" w:lineRule="auto"/>
              <w:rPr>
                <w:rFonts w:ascii="宋体" w:hAnsi="宋体"/>
                <w:sz w:val="24"/>
              </w:rPr>
            </w:pPr>
            <w:r>
              <w:rPr>
                <w:rFonts w:hint="eastAsia" w:ascii="宋体" w:hAnsi="宋体"/>
                <w:sz w:val="24"/>
              </w:rPr>
              <w:t>不允许</w:t>
            </w:r>
          </w:p>
        </w:tc>
      </w:tr>
      <w:tr w14:paraId="62009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96" w:type="dxa"/>
            <w:vAlign w:val="center"/>
          </w:tcPr>
          <w:p w14:paraId="1C8D7E3D">
            <w:pPr>
              <w:spacing w:before="180" w:beforeLines="75" w:line="360" w:lineRule="auto"/>
              <w:jc w:val="center"/>
              <w:rPr>
                <w:rFonts w:ascii="宋体" w:hAnsi="宋体"/>
                <w:sz w:val="24"/>
              </w:rPr>
            </w:pPr>
            <w:r>
              <w:rPr>
                <w:rFonts w:hint="eastAsia" w:ascii="宋体" w:hAnsi="宋体"/>
                <w:sz w:val="24"/>
              </w:rPr>
              <w:t>15</w:t>
            </w:r>
          </w:p>
        </w:tc>
        <w:tc>
          <w:tcPr>
            <w:tcW w:w="1134" w:type="dxa"/>
            <w:vAlign w:val="center"/>
          </w:tcPr>
          <w:p w14:paraId="7B30BE27">
            <w:pPr>
              <w:spacing w:before="180" w:beforeLines="75" w:line="360" w:lineRule="auto"/>
              <w:jc w:val="center"/>
              <w:rPr>
                <w:rFonts w:ascii="宋体" w:hAnsi="宋体"/>
                <w:sz w:val="24"/>
              </w:rPr>
            </w:pPr>
            <w:r>
              <w:rPr>
                <w:rFonts w:hint="eastAsia" w:ascii="宋体" w:hAnsi="宋体"/>
                <w:sz w:val="24"/>
              </w:rPr>
              <w:t>16</w:t>
            </w:r>
          </w:p>
        </w:tc>
        <w:tc>
          <w:tcPr>
            <w:tcW w:w="1531" w:type="dxa"/>
            <w:vAlign w:val="center"/>
          </w:tcPr>
          <w:p w14:paraId="17FBCFC3">
            <w:pPr>
              <w:spacing w:before="180" w:beforeLines="75" w:line="360" w:lineRule="auto"/>
              <w:jc w:val="center"/>
              <w:rPr>
                <w:rFonts w:ascii="宋体" w:hAnsi="宋体"/>
                <w:sz w:val="24"/>
              </w:rPr>
            </w:pPr>
            <w:r>
              <w:rPr>
                <w:rFonts w:hint="eastAsia" w:ascii="宋体" w:hAnsi="宋体"/>
                <w:sz w:val="24"/>
              </w:rPr>
              <w:t>响应报价</w:t>
            </w:r>
          </w:p>
        </w:tc>
        <w:tc>
          <w:tcPr>
            <w:tcW w:w="6032" w:type="dxa"/>
            <w:vAlign w:val="center"/>
          </w:tcPr>
          <w:p w14:paraId="325E2D67">
            <w:pPr>
              <w:spacing w:before="180" w:beforeLines="75" w:line="360" w:lineRule="auto"/>
              <w:rPr>
                <w:rFonts w:ascii="宋体" w:hAnsi="宋体"/>
                <w:sz w:val="24"/>
              </w:rPr>
            </w:pPr>
            <w:r>
              <w:rPr>
                <w:rFonts w:hint="eastAsia" w:ascii="宋体" w:hAnsi="宋体"/>
                <w:sz w:val="24"/>
              </w:rPr>
              <w:t>采用全费用报价法</w:t>
            </w:r>
          </w:p>
        </w:tc>
      </w:tr>
      <w:tr w14:paraId="44C80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96" w:type="dxa"/>
            <w:vAlign w:val="center"/>
          </w:tcPr>
          <w:p w14:paraId="4CFEB3EA">
            <w:pPr>
              <w:spacing w:before="180" w:beforeLines="75" w:line="360" w:lineRule="auto"/>
              <w:jc w:val="center"/>
              <w:rPr>
                <w:rFonts w:ascii="宋体" w:hAnsi="宋体"/>
                <w:sz w:val="24"/>
              </w:rPr>
            </w:pPr>
            <w:r>
              <w:rPr>
                <w:rFonts w:hint="eastAsia" w:ascii="宋体" w:hAnsi="宋体"/>
                <w:sz w:val="24"/>
              </w:rPr>
              <w:t>16</w:t>
            </w:r>
          </w:p>
        </w:tc>
        <w:tc>
          <w:tcPr>
            <w:tcW w:w="1134" w:type="dxa"/>
            <w:vAlign w:val="center"/>
          </w:tcPr>
          <w:p w14:paraId="6249064D">
            <w:pPr>
              <w:spacing w:before="180" w:beforeLines="75" w:line="360" w:lineRule="auto"/>
              <w:jc w:val="center"/>
              <w:rPr>
                <w:rFonts w:ascii="宋体" w:hAnsi="宋体"/>
                <w:sz w:val="24"/>
              </w:rPr>
            </w:pPr>
            <w:r>
              <w:rPr>
                <w:rFonts w:hint="eastAsia" w:ascii="宋体" w:hAnsi="宋体"/>
                <w:sz w:val="24"/>
              </w:rPr>
              <w:t>18.1</w:t>
            </w:r>
          </w:p>
        </w:tc>
        <w:tc>
          <w:tcPr>
            <w:tcW w:w="1531" w:type="dxa"/>
            <w:vAlign w:val="center"/>
          </w:tcPr>
          <w:p w14:paraId="2683A033">
            <w:pPr>
              <w:spacing w:before="180" w:beforeLines="75" w:line="360" w:lineRule="auto"/>
              <w:jc w:val="center"/>
              <w:rPr>
                <w:rFonts w:ascii="宋体" w:hAnsi="宋体"/>
                <w:sz w:val="24"/>
              </w:rPr>
            </w:pPr>
            <w:r>
              <w:rPr>
                <w:rFonts w:hint="eastAsia" w:ascii="宋体" w:hAnsi="宋体"/>
                <w:sz w:val="24"/>
              </w:rPr>
              <w:t>谈判有效期</w:t>
            </w:r>
          </w:p>
        </w:tc>
        <w:tc>
          <w:tcPr>
            <w:tcW w:w="6032" w:type="dxa"/>
            <w:vAlign w:val="center"/>
          </w:tcPr>
          <w:p w14:paraId="22A59168">
            <w:pPr>
              <w:spacing w:before="180" w:beforeLines="75" w:line="360" w:lineRule="auto"/>
              <w:rPr>
                <w:rFonts w:ascii="宋体" w:hAnsi="宋体"/>
                <w:sz w:val="24"/>
              </w:rPr>
            </w:pPr>
            <w:r>
              <w:rPr>
                <w:rFonts w:hint="eastAsia" w:ascii="宋体" w:hAnsi="宋体"/>
                <w:sz w:val="24"/>
              </w:rPr>
              <w:t>谈判截止期之后</w:t>
            </w:r>
            <w:r>
              <w:rPr>
                <w:rFonts w:ascii="宋体" w:hAnsi="宋体"/>
                <w:sz w:val="24"/>
              </w:rPr>
              <w:t>30</w:t>
            </w:r>
            <w:r>
              <w:rPr>
                <w:rFonts w:hint="eastAsia" w:ascii="宋体" w:hAnsi="宋体"/>
                <w:sz w:val="24"/>
              </w:rPr>
              <w:t>天</w:t>
            </w:r>
          </w:p>
        </w:tc>
      </w:tr>
      <w:tr w14:paraId="45B8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96" w:type="dxa"/>
            <w:vAlign w:val="center"/>
          </w:tcPr>
          <w:p w14:paraId="50CD516B">
            <w:pPr>
              <w:spacing w:before="180" w:beforeLines="75" w:line="360" w:lineRule="auto"/>
              <w:jc w:val="center"/>
              <w:rPr>
                <w:rFonts w:ascii="宋体" w:hAnsi="宋体"/>
                <w:sz w:val="24"/>
              </w:rPr>
            </w:pPr>
            <w:r>
              <w:rPr>
                <w:rFonts w:hint="eastAsia" w:ascii="宋体" w:hAnsi="宋体"/>
                <w:sz w:val="24"/>
              </w:rPr>
              <w:t>1</w:t>
            </w:r>
            <w:r>
              <w:rPr>
                <w:rFonts w:ascii="宋体" w:hAnsi="宋体"/>
                <w:sz w:val="24"/>
              </w:rPr>
              <w:t>7</w:t>
            </w:r>
          </w:p>
        </w:tc>
        <w:tc>
          <w:tcPr>
            <w:tcW w:w="1134" w:type="dxa"/>
            <w:vAlign w:val="center"/>
          </w:tcPr>
          <w:p w14:paraId="6FB96284">
            <w:pPr>
              <w:spacing w:before="180" w:beforeLines="75" w:line="360" w:lineRule="auto"/>
              <w:jc w:val="center"/>
              <w:rPr>
                <w:rFonts w:ascii="宋体" w:hAnsi="宋体"/>
                <w:sz w:val="24"/>
              </w:rPr>
            </w:pPr>
            <w:r>
              <w:rPr>
                <w:rFonts w:ascii="宋体" w:hAnsi="宋体"/>
                <w:sz w:val="24"/>
              </w:rPr>
              <w:t>20.3</w:t>
            </w:r>
          </w:p>
        </w:tc>
        <w:tc>
          <w:tcPr>
            <w:tcW w:w="1531" w:type="dxa"/>
            <w:vAlign w:val="center"/>
          </w:tcPr>
          <w:p w14:paraId="36054A54">
            <w:pPr>
              <w:spacing w:before="180" w:beforeLines="75" w:line="360" w:lineRule="auto"/>
              <w:jc w:val="center"/>
              <w:rPr>
                <w:rFonts w:ascii="宋体" w:hAnsi="宋体"/>
                <w:sz w:val="24"/>
              </w:rPr>
            </w:pPr>
            <w:r>
              <w:rPr>
                <w:rFonts w:hint="eastAsia" w:ascii="宋体" w:hAnsi="宋体"/>
                <w:sz w:val="24"/>
              </w:rPr>
              <w:t>谈判响应文件份数及</w:t>
            </w:r>
            <w:r>
              <w:rPr>
                <w:rFonts w:ascii="宋体" w:hAnsi="宋体"/>
                <w:sz w:val="24"/>
              </w:rPr>
              <w:t>其他</w:t>
            </w:r>
          </w:p>
        </w:tc>
        <w:tc>
          <w:tcPr>
            <w:tcW w:w="6032" w:type="dxa"/>
            <w:vAlign w:val="center"/>
          </w:tcPr>
          <w:p w14:paraId="04015368">
            <w:pPr>
              <w:spacing w:line="360" w:lineRule="auto"/>
              <w:rPr>
                <w:rFonts w:ascii="宋体" w:hAnsi="宋体"/>
                <w:sz w:val="24"/>
              </w:rPr>
            </w:pPr>
            <w:r>
              <w:rPr>
                <w:rFonts w:hint="eastAsia" w:ascii="宋体" w:hAnsi="宋体"/>
                <w:sz w:val="24"/>
              </w:rPr>
              <w:t>1.响应谈判</w:t>
            </w:r>
            <w:r>
              <w:rPr>
                <w:rFonts w:ascii="宋体" w:hAnsi="宋体"/>
                <w:sz w:val="24"/>
              </w:rPr>
              <w:t>供应商</w:t>
            </w:r>
            <w:r>
              <w:rPr>
                <w:rFonts w:hint="eastAsia" w:ascii="宋体" w:hAnsi="宋体"/>
                <w:sz w:val="24"/>
              </w:rPr>
              <w:t>须在</w:t>
            </w:r>
            <w:r>
              <w:rPr>
                <w:rFonts w:ascii="宋体" w:hAnsi="宋体"/>
                <w:sz w:val="24"/>
              </w:rPr>
              <w:t>“</w:t>
            </w:r>
            <w:r>
              <w:rPr>
                <w:rFonts w:hint="eastAsia" w:ascii="宋体" w:hAnsi="宋体"/>
                <w:sz w:val="24"/>
              </w:rPr>
              <w:t>政采云</w:t>
            </w:r>
            <w:r>
              <w:rPr>
                <w:rFonts w:ascii="宋体" w:hAnsi="宋体"/>
                <w:sz w:val="24"/>
              </w:rPr>
              <w:t>”</w:t>
            </w:r>
            <w:r>
              <w:rPr>
                <w:rFonts w:hint="eastAsia" w:ascii="宋体" w:hAnsi="宋体"/>
                <w:sz w:val="24"/>
              </w:rPr>
              <w:t>平台上传电子投标谈判文件1份。</w:t>
            </w:r>
          </w:p>
          <w:p w14:paraId="41E97CEC">
            <w:pPr>
              <w:spacing w:line="360" w:lineRule="auto"/>
              <w:rPr>
                <w:rFonts w:ascii="宋体" w:hAnsi="宋体"/>
                <w:sz w:val="24"/>
              </w:rPr>
            </w:pPr>
            <w:r>
              <w:rPr>
                <w:rFonts w:hint="eastAsia" w:ascii="宋体" w:hAnsi="宋体"/>
                <w:sz w:val="24"/>
              </w:rPr>
              <w:t>2.本项目响应</w:t>
            </w:r>
            <w:r>
              <w:rPr>
                <w:rFonts w:ascii="宋体" w:hAnsi="宋体"/>
                <w:sz w:val="24"/>
              </w:rPr>
              <w:t>谈判供应商</w:t>
            </w:r>
            <w:r>
              <w:rPr>
                <w:rFonts w:hint="eastAsia" w:ascii="宋体" w:hAnsi="宋体"/>
                <w:sz w:val="24"/>
              </w:rPr>
              <w:t>无需递交纸质文件。</w:t>
            </w:r>
          </w:p>
          <w:p w14:paraId="356A2FCB">
            <w:pPr>
              <w:spacing w:line="360" w:lineRule="auto"/>
              <w:rPr>
                <w:rFonts w:ascii="宋体" w:hAnsi="宋体"/>
                <w:b/>
                <w:bCs/>
                <w:sz w:val="24"/>
              </w:rPr>
            </w:pPr>
            <w:r>
              <w:rPr>
                <w:rFonts w:hint="eastAsia" w:ascii="宋体" w:hAnsi="宋体"/>
                <w:b/>
                <w:kern w:val="0"/>
                <w:sz w:val="24"/>
              </w:rPr>
              <w:t>注：响应谈判</w:t>
            </w:r>
            <w:r>
              <w:rPr>
                <w:rFonts w:ascii="宋体" w:hAnsi="宋体"/>
                <w:b/>
                <w:kern w:val="0"/>
                <w:sz w:val="24"/>
              </w:rPr>
              <w:t>供应商</w:t>
            </w:r>
            <w:r>
              <w:rPr>
                <w:rFonts w:hint="eastAsia" w:ascii="宋体" w:hAnsi="宋体"/>
                <w:b/>
                <w:kern w:val="0"/>
                <w:sz w:val="24"/>
              </w:rPr>
              <w:t>须办理数字证书参加谈判。</w:t>
            </w:r>
          </w:p>
        </w:tc>
      </w:tr>
      <w:tr w14:paraId="5A343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596" w:type="dxa"/>
            <w:vAlign w:val="center"/>
          </w:tcPr>
          <w:p w14:paraId="4B36EF28">
            <w:pPr>
              <w:spacing w:before="180" w:beforeLines="75" w:line="360" w:lineRule="auto"/>
              <w:jc w:val="center"/>
              <w:rPr>
                <w:rFonts w:ascii="宋体" w:hAnsi="宋体"/>
                <w:sz w:val="24"/>
              </w:rPr>
            </w:pPr>
            <w:r>
              <w:rPr>
                <w:rFonts w:ascii="宋体" w:hAnsi="宋体"/>
                <w:sz w:val="24"/>
              </w:rPr>
              <w:t>18</w:t>
            </w:r>
          </w:p>
        </w:tc>
        <w:tc>
          <w:tcPr>
            <w:tcW w:w="1134" w:type="dxa"/>
            <w:vAlign w:val="center"/>
          </w:tcPr>
          <w:p w14:paraId="1581AFF2">
            <w:pPr>
              <w:adjustRightInd w:val="0"/>
              <w:snapToGrid w:val="0"/>
              <w:spacing w:before="180" w:beforeLines="75" w:line="360" w:lineRule="auto"/>
              <w:jc w:val="center"/>
              <w:rPr>
                <w:rFonts w:ascii="宋体" w:hAnsi="宋体"/>
                <w:sz w:val="24"/>
              </w:rPr>
            </w:pPr>
            <w:r>
              <w:rPr>
                <w:rFonts w:ascii="宋体" w:hAnsi="宋体"/>
                <w:sz w:val="24"/>
              </w:rPr>
              <w:t>21</w:t>
            </w:r>
          </w:p>
        </w:tc>
        <w:tc>
          <w:tcPr>
            <w:tcW w:w="1531" w:type="dxa"/>
            <w:vAlign w:val="center"/>
          </w:tcPr>
          <w:p w14:paraId="2B47854C">
            <w:pPr>
              <w:spacing w:before="180" w:beforeLines="75" w:line="360" w:lineRule="auto"/>
              <w:jc w:val="center"/>
              <w:rPr>
                <w:rFonts w:ascii="宋体" w:hAnsi="宋体"/>
                <w:sz w:val="24"/>
              </w:rPr>
            </w:pPr>
            <w:r>
              <w:rPr>
                <w:rFonts w:hint="eastAsia" w:ascii="宋体" w:hAnsi="宋体"/>
                <w:sz w:val="24"/>
              </w:rPr>
              <w:t>谈判响应文件上传、解密</w:t>
            </w:r>
          </w:p>
        </w:tc>
        <w:tc>
          <w:tcPr>
            <w:tcW w:w="6032" w:type="dxa"/>
            <w:vAlign w:val="center"/>
          </w:tcPr>
          <w:p w14:paraId="71D178CB">
            <w:pPr>
              <w:spacing w:line="360" w:lineRule="auto"/>
              <w:rPr>
                <w:rFonts w:cs="宋体" w:asciiTheme="minorEastAsia" w:hAnsiTheme="minorEastAsia" w:eastAsiaTheme="minorEastAsia"/>
                <w:bCs/>
                <w:sz w:val="24"/>
              </w:rPr>
            </w:pPr>
            <w:r>
              <w:rPr>
                <w:rFonts w:hint="eastAsia" w:cs="宋体" w:asciiTheme="minorEastAsia" w:hAnsiTheme="minorEastAsia" w:eastAsiaTheme="minorEastAsia"/>
                <w:bCs/>
                <w:sz w:val="24"/>
              </w:rPr>
              <w:t>1.响应谈判供应商须</w:t>
            </w:r>
            <w:r>
              <w:rPr>
                <w:rFonts w:cs="宋体" w:asciiTheme="minorEastAsia" w:hAnsiTheme="minorEastAsia" w:eastAsiaTheme="minorEastAsia"/>
                <w:bCs/>
                <w:sz w:val="24"/>
              </w:rPr>
              <w:t>按照</w:t>
            </w:r>
            <w:r>
              <w:rPr>
                <w:rFonts w:hint="eastAsia" w:cs="宋体" w:asciiTheme="minorEastAsia" w:hAnsiTheme="minorEastAsia" w:eastAsiaTheme="minorEastAsia"/>
                <w:bCs/>
                <w:sz w:val="24"/>
              </w:rPr>
              <w:t>谈判文件</w:t>
            </w:r>
            <w:r>
              <w:rPr>
                <w:rFonts w:cs="宋体" w:asciiTheme="minorEastAsia" w:hAnsiTheme="minorEastAsia" w:eastAsiaTheme="minorEastAsia"/>
                <w:bCs/>
                <w:sz w:val="24"/>
              </w:rPr>
              <w:t>要求编制</w:t>
            </w:r>
            <w:r>
              <w:rPr>
                <w:rFonts w:hint="eastAsia" w:cs="宋体" w:asciiTheme="minorEastAsia" w:hAnsiTheme="minorEastAsia" w:eastAsiaTheme="minorEastAsia"/>
                <w:bCs/>
                <w:sz w:val="24"/>
              </w:rPr>
              <w:t>谈判响应</w:t>
            </w:r>
            <w:r>
              <w:rPr>
                <w:rFonts w:cs="宋体" w:asciiTheme="minorEastAsia" w:hAnsiTheme="minorEastAsia" w:eastAsiaTheme="minorEastAsia"/>
                <w:bCs/>
                <w:sz w:val="24"/>
              </w:rPr>
              <w:t>文件</w:t>
            </w:r>
            <w:r>
              <w:rPr>
                <w:rFonts w:hint="eastAsia" w:cs="宋体" w:asciiTheme="minorEastAsia" w:hAnsiTheme="minorEastAsia" w:eastAsiaTheme="minorEastAsia"/>
                <w:bCs/>
                <w:sz w:val="24"/>
              </w:rPr>
              <w:t>并</w:t>
            </w:r>
            <w:r>
              <w:rPr>
                <w:rFonts w:cs="宋体" w:asciiTheme="minorEastAsia" w:hAnsiTheme="minorEastAsia" w:eastAsiaTheme="minorEastAsia"/>
                <w:bCs/>
                <w:sz w:val="24"/>
              </w:rPr>
              <w:t>将文件上传至“</w:t>
            </w:r>
            <w:r>
              <w:rPr>
                <w:rFonts w:hint="eastAsia" w:cs="宋体" w:asciiTheme="minorEastAsia" w:hAnsiTheme="minorEastAsia" w:eastAsiaTheme="minorEastAsia"/>
                <w:bCs/>
                <w:sz w:val="24"/>
              </w:rPr>
              <w:t>政采云</w:t>
            </w:r>
            <w:r>
              <w:rPr>
                <w:rFonts w:cs="宋体" w:asciiTheme="minorEastAsia" w:hAnsiTheme="minorEastAsia" w:eastAsiaTheme="minorEastAsia"/>
                <w:bCs/>
                <w:sz w:val="24"/>
              </w:rPr>
              <w:t>”</w:t>
            </w:r>
            <w:r>
              <w:rPr>
                <w:rFonts w:hint="eastAsia" w:cs="宋体" w:asciiTheme="minorEastAsia" w:hAnsiTheme="minorEastAsia" w:eastAsiaTheme="minorEastAsia"/>
                <w:bCs/>
                <w:sz w:val="24"/>
              </w:rPr>
              <w:t>平台</w:t>
            </w:r>
            <w:r>
              <w:rPr>
                <w:rFonts w:cs="宋体" w:asciiTheme="minorEastAsia" w:hAnsiTheme="minorEastAsia" w:eastAsiaTheme="minorEastAsia"/>
                <w:bCs/>
                <w:sz w:val="24"/>
              </w:rPr>
              <w:t>。</w:t>
            </w:r>
          </w:p>
          <w:p w14:paraId="0C13E8D4">
            <w:pPr>
              <w:spacing w:line="360" w:lineRule="auto"/>
              <w:rPr>
                <w:rFonts w:cs="宋体" w:asciiTheme="minorEastAsia" w:hAnsiTheme="minorEastAsia" w:eastAsiaTheme="minorEastAsia"/>
                <w:bCs/>
                <w:sz w:val="24"/>
              </w:rPr>
            </w:pPr>
            <w:r>
              <w:rPr>
                <w:rFonts w:cs="宋体" w:asciiTheme="minorEastAsia" w:hAnsiTheme="minorEastAsia" w:eastAsiaTheme="minorEastAsia"/>
                <w:bCs/>
                <w:sz w:val="24"/>
              </w:rPr>
              <w:t>2.</w:t>
            </w:r>
            <w:r>
              <w:rPr>
                <w:rFonts w:hint="eastAsia" w:cs="宋体" w:asciiTheme="minorEastAsia" w:hAnsiTheme="minorEastAsia" w:eastAsiaTheme="minorEastAsia"/>
                <w:bCs/>
                <w:sz w:val="24"/>
              </w:rPr>
              <w:t>响应谈判供应商</w:t>
            </w:r>
            <w:r>
              <w:rPr>
                <w:rFonts w:cs="宋体" w:asciiTheme="minorEastAsia" w:hAnsiTheme="minorEastAsia" w:eastAsiaTheme="minorEastAsia"/>
                <w:bCs/>
                <w:sz w:val="24"/>
              </w:rPr>
              <w:t>须在</w:t>
            </w:r>
            <w:r>
              <w:rPr>
                <w:rFonts w:hint="eastAsia" w:cs="宋体" w:asciiTheme="minorEastAsia" w:hAnsiTheme="minorEastAsia" w:eastAsiaTheme="minorEastAsia"/>
                <w:bCs/>
                <w:sz w:val="24"/>
              </w:rPr>
              <w:t>解密</w:t>
            </w:r>
            <w:r>
              <w:rPr>
                <w:rFonts w:cs="宋体" w:asciiTheme="minorEastAsia" w:hAnsiTheme="minorEastAsia" w:eastAsiaTheme="minorEastAsia"/>
                <w:bCs/>
                <w:sz w:val="24"/>
              </w:rPr>
              <w:t>时间</w:t>
            </w:r>
            <w:r>
              <w:rPr>
                <w:rFonts w:hint="eastAsia" w:cs="宋体" w:asciiTheme="minorEastAsia" w:hAnsiTheme="minorEastAsia" w:eastAsiaTheme="minorEastAsia"/>
                <w:bCs/>
                <w:sz w:val="24"/>
              </w:rPr>
              <w:t>内</w:t>
            </w:r>
            <w:r>
              <w:rPr>
                <w:rFonts w:cs="宋体" w:asciiTheme="minorEastAsia" w:hAnsiTheme="minorEastAsia" w:eastAsiaTheme="minorEastAsia"/>
                <w:bCs/>
                <w:sz w:val="24"/>
              </w:rPr>
              <w:t>用有效数字证书</w:t>
            </w:r>
            <w:r>
              <w:rPr>
                <w:rFonts w:hint="eastAsia" w:cs="宋体" w:asciiTheme="minorEastAsia" w:hAnsiTheme="minorEastAsia" w:eastAsiaTheme="minorEastAsia"/>
                <w:bCs/>
                <w:sz w:val="24"/>
              </w:rPr>
              <w:t>对谈判响应</w:t>
            </w:r>
            <w:r>
              <w:rPr>
                <w:rFonts w:cs="宋体" w:asciiTheme="minorEastAsia" w:hAnsiTheme="minorEastAsia" w:eastAsiaTheme="minorEastAsia"/>
                <w:bCs/>
                <w:sz w:val="24"/>
              </w:rPr>
              <w:t>文件进行解密。</w:t>
            </w:r>
          </w:p>
          <w:p w14:paraId="72D7C1D6">
            <w:pPr>
              <w:spacing w:before="180" w:beforeLines="75" w:line="360" w:lineRule="auto"/>
              <w:rPr>
                <w:rFonts w:ascii="宋体" w:hAnsi="宋体"/>
                <w:sz w:val="24"/>
              </w:rPr>
            </w:pPr>
            <w:r>
              <w:rPr>
                <w:rFonts w:cs="宋体" w:asciiTheme="minorEastAsia" w:hAnsiTheme="minorEastAsia" w:eastAsiaTheme="minorEastAsia"/>
                <w:sz w:val="24"/>
              </w:rPr>
              <w:t>3.</w:t>
            </w:r>
            <w:r>
              <w:rPr>
                <w:rFonts w:hint="eastAsia" w:cs="宋体" w:asciiTheme="minorEastAsia" w:hAnsiTheme="minorEastAsia" w:eastAsiaTheme="minorEastAsia"/>
                <w:sz w:val="24"/>
              </w:rPr>
              <w:t>响应谈判供应商上传的电子谈判响应文件因未解密而造成谈判</w:t>
            </w:r>
            <w:r>
              <w:rPr>
                <w:rFonts w:cs="宋体" w:asciiTheme="minorEastAsia" w:hAnsiTheme="minorEastAsia" w:eastAsiaTheme="minorEastAsia"/>
                <w:sz w:val="24"/>
              </w:rPr>
              <w:t>响应</w:t>
            </w:r>
            <w:r>
              <w:rPr>
                <w:rFonts w:hint="eastAsia" w:cs="宋体" w:asciiTheme="minorEastAsia" w:hAnsiTheme="minorEastAsia" w:eastAsiaTheme="minorEastAsia"/>
                <w:sz w:val="24"/>
              </w:rPr>
              <w:t>文件无法进行评审的，响应谈判供应商自行承担。</w:t>
            </w:r>
          </w:p>
        </w:tc>
      </w:tr>
      <w:tr w14:paraId="4039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596" w:type="dxa"/>
            <w:vAlign w:val="center"/>
          </w:tcPr>
          <w:p w14:paraId="1F4D27D6">
            <w:pPr>
              <w:spacing w:before="180" w:beforeLines="75" w:line="360" w:lineRule="auto"/>
              <w:jc w:val="center"/>
              <w:rPr>
                <w:rFonts w:ascii="宋体" w:hAnsi="宋体"/>
                <w:sz w:val="24"/>
              </w:rPr>
            </w:pPr>
            <w:r>
              <w:rPr>
                <w:rFonts w:ascii="宋体" w:hAnsi="宋体"/>
                <w:sz w:val="24"/>
              </w:rPr>
              <w:t>19</w:t>
            </w:r>
          </w:p>
        </w:tc>
        <w:tc>
          <w:tcPr>
            <w:tcW w:w="1134" w:type="dxa"/>
            <w:vAlign w:val="center"/>
          </w:tcPr>
          <w:p w14:paraId="6DFE11B5">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2</w:t>
            </w:r>
            <w:r>
              <w:rPr>
                <w:rFonts w:hint="eastAsia" w:ascii="宋体" w:hAnsi="宋体"/>
                <w:sz w:val="24"/>
              </w:rPr>
              <w:t>.1</w:t>
            </w:r>
          </w:p>
        </w:tc>
        <w:tc>
          <w:tcPr>
            <w:tcW w:w="1531" w:type="dxa"/>
            <w:vAlign w:val="center"/>
          </w:tcPr>
          <w:p w14:paraId="46FA4C35">
            <w:pPr>
              <w:spacing w:before="180" w:beforeLines="75" w:line="360" w:lineRule="auto"/>
              <w:jc w:val="center"/>
              <w:rPr>
                <w:rFonts w:ascii="宋体" w:hAnsi="宋体"/>
                <w:sz w:val="24"/>
              </w:rPr>
            </w:pPr>
            <w:r>
              <w:rPr>
                <w:rFonts w:hint="eastAsia" w:ascii="宋体" w:hAnsi="宋体"/>
                <w:sz w:val="24"/>
              </w:rPr>
              <w:t>谈判响应截止时间</w:t>
            </w:r>
            <w:r>
              <w:rPr>
                <w:rFonts w:ascii="宋体" w:hAnsi="宋体"/>
                <w:sz w:val="24"/>
              </w:rPr>
              <w:t>、</w:t>
            </w:r>
            <w:r>
              <w:rPr>
                <w:rFonts w:hint="eastAsia" w:ascii="宋体" w:hAnsi="宋体"/>
                <w:sz w:val="24"/>
              </w:rPr>
              <w:t>谈判开始时间</w:t>
            </w:r>
          </w:p>
        </w:tc>
        <w:tc>
          <w:tcPr>
            <w:tcW w:w="6032" w:type="dxa"/>
            <w:vAlign w:val="center"/>
          </w:tcPr>
          <w:p w14:paraId="0B4A660C">
            <w:pPr>
              <w:spacing w:before="180" w:beforeLines="75" w:line="360" w:lineRule="auto"/>
              <w:rPr>
                <w:rFonts w:ascii="宋体" w:hAnsi="宋体"/>
                <w:sz w:val="24"/>
              </w:rPr>
            </w:pPr>
            <w:r>
              <w:rPr>
                <w:rFonts w:hint="eastAsia" w:ascii="宋体" w:hAnsi="宋体" w:cs="宋体"/>
                <w:color w:val="000000" w:themeColor="text1"/>
                <w:sz w:val="24"/>
                <w14:textFill>
                  <w14:solidFill>
                    <w14:schemeClr w14:val="tx1"/>
                  </w14:solidFill>
                </w14:textFill>
              </w:rPr>
              <w:t>2026年</w:t>
            </w:r>
            <w:r>
              <w:rPr>
                <w:rFonts w:ascii="宋体" w:hAnsi="宋体" w:cs="宋体"/>
                <w:color w:val="000000" w:themeColor="text1"/>
                <w:sz w:val="24"/>
                <w14:textFill>
                  <w14:solidFill>
                    <w14:schemeClr w14:val="tx1"/>
                  </w14:solidFill>
                </w14:textFill>
              </w:rPr>
              <w:t>0</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26</w:t>
            </w:r>
            <w:r>
              <w:rPr>
                <w:rFonts w:hint="eastAsia" w:ascii="宋体" w:hAnsi="宋体" w:cs="宋体"/>
                <w:color w:val="000000" w:themeColor="text1"/>
                <w:sz w:val="24"/>
                <w14:textFill>
                  <w14:solidFill>
                    <w14:schemeClr w14:val="tx1"/>
                  </w14:solidFill>
                </w14:textFill>
              </w:rPr>
              <w:t>日</w:t>
            </w:r>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r>
              <w:rPr>
                <w:rFonts w:hint="eastAsia" w:ascii="宋体" w:hAnsi="宋体"/>
                <w:sz w:val="24"/>
              </w:rPr>
              <w:t>（北京时间）</w:t>
            </w:r>
          </w:p>
        </w:tc>
      </w:tr>
      <w:tr w14:paraId="0C983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596" w:type="dxa"/>
            <w:vAlign w:val="center"/>
          </w:tcPr>
          <w:p w14:paraId="7C6A6C3F">
            <w:pPr>
              <w:spacing w:before="180" w:beforeLines="75" w:line="360" w:lineRule="auto"/>
              <w:jc w:val="center"/>
              <w:rPr>
                <w:rFonts w:ascii="宋体" w:hAnsi="宋体"/>
                <w:sz w:val="24"/>
              </w:rPr>
            </w:pPr>
            <w:r>
              <w:rPr>
                <w:rFonts w:ascii="宋体" w:hAnsi="宋体"/>
                <w:sz w:val="24"/>
              </w:rPr>
              <w:t>20</w:t>
            </w:r>
          </w:p>
        </w:tc>
        <w:tc>
          <w:tcPr>
            <w:tcW w:w="1134" w:type="dxa"/>
            <w:vAlign w:val="center"/>
          </w:tcPr>
          <w:p w14:paraId="19C79C3C">
            <w:pPr>
              <w:spacing w:before="180" w:beforeLines="75" w:line="360" w:lineRule="auto"/>
              <w:jc w:val="center"/>
              <w:rPr>
                <w:rFonts w:ascii="宋体" w:hAnsi="宋体"/>
                <w:sz w:val="24"/>
              </w:rPr>
            </w:pPr>
            <w:r>
              <w:rPr>
                <w:rFonts w:ascii="宋体" w:hAnsi="宋体"/>
                <w:sz w:val="24"/>
              </w:rPr>
              <w:t>25</w:t>
            </w:r>
          </w:p>
        </w:tc>
        <w:tc>
          <w:tcPr>
            <w:tcW w:w="1531" w:type="dxa"/>
            <w:vAlign w:val="center"/>
          </w:tcPr>
          <w:p w14:paraId="19C15A47">
            <w:pPr>
              <w:spacing w:before="180" w:beforeLines="75" w:line="360" w:lineRule="auto"/>
              <w:jc w:val="center"/>
              <w:rPr>
                <w:rFonts w:ascii="宋体" w:hAnsi="宋体"/>
                <w:sz w:val="24"/>
              </w:rPr>
            </w:pPr>
            <w:r>
              <w:rPr>
                <w:rFonts w:hint="eastAsia" w:ascii="宋体" w:hAnsi="宋体"/>
                <w:sz w:val="24"/>
              </w:rPr>
              <w:t>谈判地点</w:t>
            </w:r>
          </w:p>
        </w:tc>
        <w:tc>
          <w:tcPr>
            <w:tcW w:w="6032" w:type="dxa"/>
            <w:vAlign w:val="center"/>
          </w:tcPr>
          <w:p w14:paraId="29B11D47">
            <w:pPr>
              <w:spacing w:line="360" w:lineRule="auto"/>
              <w:rPr>
                <w:rFonts w:ascii="宋体" w:hAnsi="宋体"/>
                <w:color w:val="000000" w:themeColor="text1"/>
                <w:sz w:val="24"/>
                <w14:textFill>
                  <w14:solidFill>
                    <w14:schemeClr w14:val="tx1"/>
                  </w14:solidFill>
                </w14:textFill>
              </w:rPr>
            </w:pPr>
            <w:r>
              <w:rPr>
                <w:rFonts w:hint="eastAsia" w:ascii="宋体" w:hAnsi="宋体"/>
                <w:sz w:val="24"/>
              </w:rPr>
              <w:t>1.长春净月高新技术产业开发区公共资源交易场所</w:t>
            </w:r>
            <w:r>
              <w:rPr>
                <w:rFonts w:hint="eastAsia" w:ascii="宋体" w:hAnsi="宋体"/>
                <w:color w:val="000000" w:themeColor="text1"/>
                <w:sz w:val="24"/>
                <w14:textFill>
                  <w14:solidFill>
                    <w14:schemeClr w14:val="tx1"/>
                  </w14:solidFill>
                </w14:textFill>
              </w:rPr>
              <w:t>开标一室</w:t>
            </w:r>
          </w:p>
          <w:p w14:paraId="0ABCEB36">
            <w:pPr>
              <w:spacing w:line="360" w:lineRule="auto"/>
              <w:rPr>
                <w:rFonts w:ascii="宋体" w:hAnsi="宋体"/>
                <w:sz w:val="24"/>
              </w:rPr>
            </w:pPr>
            <w:r>
              <w:rPr>
                <w:rFonts w:hint="eastAsia" w:ascii="宋体" w:hAnsi="宋体"/>
                <w:b/>
                <w:color w:val="000000"/>
                <w:sz w:val="24"/>
              </w:rPr>
              <w:t>2.响应谈判</w:t>
            </w:r>
            <w:r>
              <w:rPr>
                <w:rFonts w:ascii="宋体" w:hAnsi="宋体"/>
                <w:b/>
                <w:color w:val="000000"/>
                <w:sz w:val="24"/>
              </w:rPr>
              <w:t>供应商</w:t>
            </w:r>
            <w:r>
              <w:rPr>
                <w:rFonts w:hint="eastAsia" w:ascii="宋体" w:hAnsi="宋体"/>
                <w:b/>
                <w:color w:val="000000"/>
                <w:sz w:val="24"/>
              </w:rPr>
              <w:t>通过政采云线上参加。</w:t>
            </w:r>
          </w:p>
        </w:tc>
      </w:tr>
      <w:tr w14:paraId="0314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96" w:type="dxa"/>
            <w:vAlign w:val="center"/>
          </w:tcPr>
          <w:p w14:paraId="4656F816">
            <w:pPr>
              <w:spacing w:before="180" w:beforeLines="75" w:line="360" w:lineRule="auto"/>
              <w:jc w:val="center"/>
              <w:rPr>
                <w:rFonts w:ascii="宋体" w:hAnsi="宋体"/>
                <w:sz w:val="24"/>
              </w:rPr>
            </w:pPr>
            <w:r>
              <w:rPr>
                <w:rFonts w:ascii="宋体" w:hAnsi="宋体"/>
                <w:sz w:val="24"/>
              </w:rPr>
              <w:t>21</w:t>
            </w:r>
          </w:p>
        </w:tc>
        <w:tc>
          <w:tcPr>
            <w:tcW w:w="1134" w:type="dxa"/>
            <w:vAlign w:val="center"/>
          </w:tcPr>
          <w:p w14:paraId="1178428E">
            <w:pPr>
              <w:spacing w:before="180" w:beforeLines="75" w:line="360" w:lineRule="auto"/>
              <w:jc w:val="center"/>
              <w:rPr>
                <w:rFonts w:ascii="宋体" w:hAnsi="宋体"/>
                <w:sz w:val="24"/>
              </w:rPr>
            </w:pPr>
            <w:r>
              <w:rPr>
                <w:rFonts w:hint="eastAsia" w:ascii="宋体" w:hAnsi="宋体"/>
                <w:sz w:val="24"/>
              </w:rPr>
              <w:t>26.1</w:t>
            </w:r>
          </w:p>
        </w:tc>
        <w:tc>
          <w:tcPr>
            <w:tcW w:w="1531" w:type="dxa"/>
            <w:vAlign w:val="center"/>
          </w:tcPr>
          <w:p w14:paraId="4D9DFDE7">
            <w:pPr>
              <w:spacing w:before="180" w:beforeLines="75" w:line="360" w:lineRule="auto"/>
              <w:jc w:val="center"/>
              <w:rPr>
                <w:rFonts w:ascii="宋体" w:hAnsi="宋体"/>
                <w:sz w:val="24"/>
              </w:rPr>
            </w:pPr>
            <w:r>
              <w:rPr>
                <w:rFonts w:hint="eastAsia" w:ascii="宋体" w:hAnsi="宋体"/>
                <w:sz w:val="24"/>
              </w:rPr>
              <w:t>电子响应文件</w:t>
            </w:r>
            <w:r>
              <w:rPr>
                <w:rFonts w:ascii="宋体" w:hAnsi="宋体"/>
                <w:sz w:val="24"/>
              </w:rPr>
              <w:t>解密</w:t>
            </w:r>
            <w:r>
              <w:rPr>
                <w:rFonts w:hint="eastAsia" w:ascii="宋体" w:hAnsi="宋体"/>
                <w:sz w:val="24"/>
              </w:rPr>
              <w:t>时间和地点</w:t>
            </w:r>
          </w:p>
        </w:tc>
        <w:tc>
          <w:tcPr>
            <w:tcW w:w="6032" w:type="dxa"/>
            <w:vAlign w:val="center"/>
          </w:tcPr>
          <w:p w14:paraId="41226939">
            <w:pPr>
              <w:spacing w:before="180" w:beforeLines="75" w:line="360" w:lineRule="auto"/>
              <w:rPr>
                <w:rFonts w:ascii="宋体" w:hAnsi="宋体"/>
                <w:kern w:val="0"/>
                <w:sz w:val="24"/>
              </w:rPr>
            </w:pPr>
            <w:r>
              <w:rPr>
                <w:rFonts w:hint="eastAsia" w:ascii="宋体" w:hAnsi="宋体"/>
                <w:sz w:val="24"/>
              </w:rPr>
              <w:t>时间：</w:t>
            </w:r>
            <w:r>
              <w:rPr>
                <w:rFonts w:hint="eastAsia" w:ascii="宋体" w:hAnsi="宋体" w:cs="宋体"/>
                <w:color w:val="000000" w:themeColor="text1"/>
                <w:sz w:val="24"/>
                <w14:textFill>
                  <w14:solidFill>
                    <w14:schemeClr w14:val="tx1"/>
                  </w14:solidFill>
                </w14:textFill>
              </w:rPr>
              <w:t>2026年</w:t>
            </w:r>
            <w:r>
              <w:rPr>
                <w:rFonts w:ascii="宋体" w:hAnsi="宋体" w:cs="宋体"/>
                <w:color w:val="000000" w:themeColor="text1"/>
                <w:sz w:val="24"/>
                <w14:textFill>
                  <w14:solidFill>
                    <w14:schemeClr w14:val="tx1"/>
                  </w14:solidFill>
                </w14:textFill>
              </w:rPr>
              <w:t>0</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26</w:t>
            </w:r>
            <w:r>
              <w:rPr>
                <w:rFonts w:hint="eastAsia" w:ascii="宋体" w:hAnsi="宋体" w:cs="宋体"/>
                <w:color w:val="000000" w:themeColor="text1"/>
                <w:sz w:val="24"/>
                <w14:textFill>
                  <w14:solidFill>
                    <w14:schemeClr w14:val="tx1"/>
                  </w14:solidFill>
                </w14:textFill>
              </w:rPr>
              <w:t>日</w:t>
            </w:r>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r>
              <w:rPr>
                <w:rFonts w:hint="eastAsia" w:ascii="宋体" w:hAnsi="宋体"/>
                <w:sz w:val="24"/>
              </w:rPr>
              <w:t>至</w:t>
            </w:r>
            <w:r>
              <w:rPr>
                <w:rFonts w:hint="eastAsia" w:ascii="宋体" w:hAnsi="宋体"/>
                <w:color w:val="000000"/>
                <w:sz w:val="24"/>
                <w:lang w:val="en-US" w:eastAsia="zh-CN"/>
              </w:rPr>
              <w:t>13</w:t>
            </w:r>
            <w:r>
              <w:rPr>
                <w:rFonts w:hint="eastAsia" w:ascii="宋体" w:hAnsi="宋体"/>
                <w:color w:val="000000"/>
                <w:sz w:val="24"/>
              </w:rPr>
              <w:t>：</w:t>
            </w:r>
            <w:r>
              <w:rPr>
                <w:rFonts w:ascii="宋体" w:hAnsi="宋体"/>
                <w:color w:val="000000"/>
                <w:sz w:val="24"/>
              </w:rPr>
              <w:t>30</w:t>
            </w:r>
            <w:r>
              <w:rPr>
                <w:rFonts w:hint="eastAsia" w:ascii="宋体" w:hAnsi="宋体"/>
                <w:sz w:val="24"/>
              </w:rPr>
              <w:t>（北京时间）</w:t>
            </w:r>
          </w:p>
          <w:p w14:paraId="602B9588">
            <w:pPr>
              <w:spacing w:before="180" w:beforeLines="75" w:line="360" w:lineRule="auto"/>
              <w:rPr>
                <w:rFonts w:ascii="宋体" w:hAnsi="宋体"/>
                <w:sz w:val="24"/>
              </w:rPr>
            </w:pPr>
            <w:r>
              <w:rPr>
                <w:rFonts w:hint="eastAsia" w:ascii="宋体" w:hAnsi="宋体"/>
                <w:kern w:val="0"/>
                <w:sz w:val="24"/>
              </w:rPr>
              <w:t>地点</w:t>
            </w:r>
            <w:r>
              <w:rPr>
                <w:rFonts w:ascii="宋体" w:hAnsi="宋体"/>
                <w:kern w:val="0"/>
                <w:sz w:val="24"/>
              </w:rPr>
              <w:t>：</w:t>
            </w:r>
            <w:r>
              <w:rPr>
                <w:rFonts w:hint="eastAsia" w:ascii="宋体" w:hAnsi="宋体"/>
                <w:kern w:val="0"/>
                <w:sz w:val="24"/>
              </w:rPr>
              <w:t>响应谈判供应商</w:t>
            </w:r>
            <w:r>
              <w:rPr>
                <w:rFonts w:hint="eastAsia" w:ascii="宋体" w:hAnsi="宋体"/>
                <w:color w:val="000000"/>
                <w:sz w:val="24"/>
              </w:rPr>
              <w:t>“政采云”平台网上解密。</w:t>
            </w:r>
          </w:p>
        </w:tc>
      </w:tr>
      <w:tr w14:paraId="3D44E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96" w:type="dxa"/>
            <w:vAlign w:val="center"/>
          </w:tcPr>
          <w:p w14:paraId="4406164D">
            <w:pPr>
              <w:spacing w:before="180" w:beforeLines="75" w:line="360" w:lineRule="auto"/>
              <w:jc w:val="center"/>
              <w:rPr>
                <w:rFonts w:ascii="宋体" w:hAnsi="宋体"/>
                <w:sz w:val="24"/>
              </w:rPr>
            </w:pPr>
            <w:r>
              <w:rPr>
                <w:rFonts w:ascii="宋体" w:hAnsi="宋体"/>
                <w:sz w:val="24"/>
              </w:rPr>
              <w:t>22</w:t>
            </w:r>
          </w:p>
        </w:tc>
        <w:tc>
          <w:tcPr>
            <w:tcW w:w="1134" w:type="dxa"/>
            <w:vAlign w:val="center"/>
          </w:tcPr>
          <w:p w14:paraId="38926BC8">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7</w:t>
            </w:r>
            <w:r>
              <w:rPr>
                <w:rFonts w:hint="eastAsia" w:ascii="宋体" w:hAnsi="宋体"/>
                <w:sz w:val="24"/>
              </w:rPr>
              <w:t>.2</w:t>
            </w:r>
          </w:p>
        </w:tc>
        <w:tc>
          <w:tcPr>
            <w:tcW w:w="1531" w:type="dxa"/>
            <w:vAlign w:val="center"/>
          </w:tcPr>
          <w:p w14:paraId="643DA009">
            <w:pPr>
              <w:spacing w:before="180" w:beforeLines="75" w:line="360" w:lineRule="auto"/>
              <w:jc w:val="center"/>
              <w:rPr>
                <w:rFonts w:ascii="宋体" w:hAnsi="宋体"/>
                <w:sz w:val="24"/>
              </w:rPr>
            </w:pPr>
            <w:r>
              <w:rPr>
                <w:rFonts w:hint="eastAsia" w:ascii="宋体" w:hAnsi="宋体"/>
                <w:sz w:val="24"/>
              </w:rPr>
              <w:t>谈判小组的组建</w:t>
            </w:r>
          </w:p>
        </w:tc>
        <w:tc>
          <w:tcPr>
            <w:tcW w:w="6032" w:type="dxa"/>
            <w:vAlign w:val="center"/>
          </w:tcPr>
          <w:p w14:paraId="2B3164F1">
            <w:pPr>
              <w:spacing w:before="180" w:beforeLines="75" w:line="360" w:lineRule="auto"/>
              <w:rPr>
                <w:rFonts w:ascii="宋体" w:hAnsi="宋体"/>
                <w:sz w:val="24"/>
              </w:rPr>
            </w:pPr>
            <w:r>
              <w:rPr>
                <w:rFonts w:hint="eastAsia" w:ascii="宋体" w:hAnsi="宋体"/>
                <w:sz w:val="24"/>
              </w:rPr>
              <w:t>谈判小组构成：共</w:t>
            </w:r>
            <w:r>
              <w:rPr>
                <w:rFonts w:ascii="宋体" w:hAnsi="宋体"/>
                <w:sz w:val="24"/>
              </w:rPr>
              <w:t>3</w:t>
            </w:r>
            <w:r>
              <w:rPr>
                <w:rFonts w:hint="eastAsia" w:ascii="宋体" w:hAnsi="宋体"/>
                <w:sz w:val="24"/>
              </w:rPr>
              <w:t>人</w:t>
            </w:r>
          </w:p>
          <w:p w14:paraId="20FA4C11">
            <w:pPr>
              <w:spacing w:before="180" w:beforeLines="75" w:line="360" w:lineRule="auto"/>
              <w:rPr>
                <w:rFonts w:ascii="宋体" w:hAnsi="宋体"/>
                <w:sz w:val="24"/>
              </w:rPr>
            </w:pPr>
            <w:r>
              <w:rPr>
                <w:rFonts w:hint="eastAsia" w:ascii="宋体" w:hAnsi="宋体"/>
                <w:sz w:val="24"/>
              </w:rPr>
              <w:t>谈判小组专家确定方式：从依法设立的评审专家库中随机抽取</w:t>
            </w:r>
          </w:p>
        </w:tc>
      </w:tr>
      <w:tr w14:paraId="254C2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596" w:type="dxa"/>
            <w:vAlign w:val="center"/>
          </w:tcPr>
          <w:p w14:paraId="18184B68">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3</w:t>
            </w:r>
          </w:p>
        </w:tc>
        <w:tc>
          <w:tcPr>
            <w:tcW w:w="1134" w:type="dxa"/>
            <w:vAlign w:val="center"/>
          </w:tcPr>
          <w:p w14:paraId="7711A660">
            <w:pPr>
              <w:spacing w:before="180" w:beforeLines="75" w:line="360" w:lineRule="auto"/>
              <w:jc w:val="center"/>
              <w:rPr>
                <w:rFonts w:ascii="宋体" w:hAnsi="宋体"/>
                <w:sz w:val="24"/>
              </w:rPr>
            </w:pPr>
            <w:r>
              <w:rPr>
                <w:rFonts w:hint="eastAsia" w:ascii="宋体" w:hAnsi="宋体"/>
                <w:sz w:val="24"/>
              </w:rPr>
              <w:t>27.4</w:t>
            </w:r>
          </w:p>
        </w:tc>
        <w:tc>
          <w:tcPr>
            <w:tcW w:w="1531" w:type="dxa"/>
            <w:vAlign w:val="center"/>
          </w:tcPr>
          <w:p w14:paraId="7B28A9A8">
            <w:pPr>
              <w:spacing w:before="180" w:beforeLines="75" w:line="360" w:lineRule="auto"/>
              <w:jc w:val="center"/>
              <w:rPr>
                <w:rFonts w:ascii="宋体" w:hAnsi="宋体"/>
                <w:sz w:val="24"/>
              </w:rPr>
            </w:pPr>
            <w:r>
              <w:rPr>
                <w:rFonts w:hint="eastAsia" w:ascii="宋体" w:hAnsi="宋体"/>
                <w:sz w:val="24"/>
              </w:rPr>
              <w:t>在线谈判时间和提交最终报价的时间</w:t>
            </w:r>
          </w:p>
        </w:tc>
        <w:tc>
          <w:tcPr>
            <w:tcW w:w="6032" w:type="dxa"/>
            <w:vAlign w:val="center"/>
          </w:tcPr>
          <w:p w14:paraId="62018ABD">
            <w:pPr>
              <w:spacing w:before="180" w:beforeLines="75" w:line="360" w:lineRule="auto"/>
              <w:jc w:val="left"/>
              <w:rPr>
                <w:rFonts w:ascii="宋体" w:hAnsi="宋体"/>
                <w:sz w:val="24"/>
              </w:rPr>
            </w:pPr>
            <w:r>
              <w:rPr>
                <w:rFonts w:hint="eastAsia" w:ascii="宋体" w:hAnsi="宋体"/>
                <w:sz w:val="24"/>
              </w:rPr>
              <w:t>预计时间：</w:t>
            </w:r>
            <w:r>
              <w:rPr>
                <w:rFonts w:hint="eastAsia" w:ascii="宋体" w:hAnsi="宋体" w:cs="宋体"/>
                <w:color w:val="000000" w:themeColor="text1"/>
                <w:sz w:val="24"/>
                <w14:textFill>
                  <w14:solidFill>
                    <w14:schemeClr w14:val="tx1"/>
                  </w14:solidFill>
                </w14:textFill>
              </w:rPr>
              <w:t>2026年</w:t>
            </w:r>
            <w:r>
              <w:rPr>
                <w:rFonts w:ascii="宋体" w:hAnsi="宋体" w:cs="宋体"/>
                <w:color w:val="000000" w:themeColor="text1"/>
                <w:sz w:val="24"/>
                <w14:textFill>
                  <w14:solidFill>
                    <w14:schemeClr w14:val="tx1"/>
                  </w14:solidFill>
                </w14:textFill>
              </w:rPr>
              <w:t>0</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26</w:t>
            </w:r>
            <w:r>
              <w:rPr>
                <w:rFonts w:hint="eastAsia" w:ascii="宋体" w:hAnsi="宋体" w:cs="宋体"/>
                <w:color w:val="000000" w:themeColor="text1"/>
                <w:sz w:val="24"/>
                <w14:textFill>
                  <w14:solidFill>
                    <w14:schemeClr w14:val="tx1"/>
                  </w14:solidFill>
                </w14:textFill>
              </w:rPr>
              <w:t>日</w:t>
            </w:r>
            <w:r>
              <w:rPr>
                <w:rFonts w:hint="eastAsia" w:ascii="宋体" w:hAnsi="宋体"/>
                <w:sz w:val="24"/>
              </w:rPr>
              <w:t>13:</w:t>
            </w:r>
            <w:r>
              <w:rPr>
                <w:rFonts w:ascii="宋体" w:hAnsi="宋体"/>
                <w:sz w:val="24"/>
              </w:rPr>
              <w:t>3</w:t>
            </w:r>
            <w:r>
              <w:rPr>
                <w:rFonts w:hint="eastAsia" w:ascii="宋体" w:hAnsi="宋体"/>
                <w:sz w:val="24"/>
              </w:rPr>
              <w:t>0～14:30（北京时间），</w:t>
            </w:r>
          </w:p>
          <w:p w14:paraId="70346679">
            <w:pPr>
              <w:spacing w:before="180" w:beforeLines="75" w:line="360" w:lineRule="auto"/>
              <w:jc w:val="left"/>
              <w:rPr>
                <w:rFonts w:ascii="宋体" w:hAnsi="宋体"/>
                <w:sz w:val="24"/>
              </w:rPr>
            </w:pPr>
            <w:r>
              <w:rPr>
                <w:rFonts w:hint="eastAsia" w:ascii="宋体" w:hAnsi="宋体"/>
                <w:sz w:val="24"/>
              </w:rPr>
              <w:t>以谈判小组线上发起时间和结束时间为准。</w:t>
            </w:r>
          </w:p>
        </w:tc>
      </w:tr>
      <w:tr w14:paraId="2CF5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596" w:type="dxa"/>
            <w:vAlign w:val="center"/>
          </w:tcPr>
          <w:p w14:paraId="765F0C88">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4</w:t>
            </w:r>
          </w:p>
        </w:tc>
        <w:tc>
          <w:tcPr>
            <w:tcW w:w="1134" w:type="dxa"/>
            <w:vAlign w:val="center"/>
          </w:tcPr>
          <w:p w14:paraId="3770C4BA">
            <w:pPr>
              <w:spacing w:before="180" w:beforeLines="75" w:line="360" w:lineRule="auto"/>
              <w:jc w:val="center"/>
              <w:rPr>
                <w:rFonts w:ascii="宋体" w:hAnsi="宋体"/>
                <w:sz w:val="24"/>
              </w:rPr>
            </w:pPr>
            <w:r>
              <w:rPr>
                <w:rFonts w:ascii="宋体" w:hAnsi="宋体"/>
                <w:sz w:val="24"/>
              </w:rPr>
              <w:t>34.2</w:t>
            </w:r>
          </w:p>
        </w:tc>
        <w:tc>
          <w:tcPr>
            <w:tcW w:w="1531" w:type="dxa"/>
            <w:vAlign w:val="center"/>
          </w:tcPr>
          <w:p w14:paraId="7C37EF34">
            <w:pPr>
              <w:spacing w:before="180" w:beforeLines="75" w:line="360" w:lineRule="auto"/>
              <w:jc w:val="center"/>
              <w:rPr>
                <w:rFonts w:ascii="宋体" w:hAnsi="宋体"/>
                <w:sz w:val="24"/>
              </w:rPr>
            </w:pPr>
            <w:r>
              <w:rPr>
                <w:rFonts w:hint="eastAsia" w:ascii="宋体" w:hAnsi="宋体"/>
                <w:sz w:val="24"/>
              </w:rPr>
              <w:t>履约保证金金额</w:t>
            </w:r>
            <w:r>
              <w:rPr>
                <w:rFonts w:ascii="宋体" w:hAnsi="宋体"/>
                <w:sz w:val="24"/>
              </w:rPr>
              <w:t>及开户行</w:t>
            </w:r>
          </w:p>
        </w:tc>
        <w:tc>
          <w:tcPr>
            <w:tcW w:w="6032" w:type="dxa"/>
            <w:vAlign w:val="center"/>
          </w:tcPr>
          <w:p w14:paraId="3B33DA09">
            <w:pPr>
              <w:spacing w:line="360" w:lineRule="auto"/>
              <w:rPr>
                <w:rFonts w:ascii="宋体" w:hAnsi="宋体"/>
                <w:color w:val="FF0000"/>
                <w:sz w:val="24"/>
              </w:rPr>
            </w:pPr>
            <w:r>
              <w:rPr>
                <w:rFonts w:hint="eastAsia" w:ascii="宋体" w:hAnsi="宋体"/>
                <w:color w:val="000000" w:themeColor="text1"/>
                <w:sz w:val="24"/>
                <w14:textFill>
                  <w14:solidFill>
                    <w14:schemeClr w14:val="tx1"/>
                  </w14:solidFill>
                </w14:textFill>
              </w:rPr>
              <w:t>1.</w:t>
            </w:r>
            <w:r>
              <w:rPr>
                <w:rFonts w:hint="eastAsia" w:ascii="宋体" w:hAnsi="宋体"/>
                <w:sz w:val="24"/>
              </w:rPr>
              <w:t>成交供应商缴纳履约保证金金额</w:t>
            </w:r>
            <w:r>
              <w:rPr>
                <w:rFonts w:ascii="宋体" w:hAnsi="宋体"/>
                <w:sz w:val="24"/>
              </w:rPr>
              <w:t>：</w:t>
            </w:r>
            <w:r>
              <w:rPr>
                <w:rFonts w:hint="eastAsia" w:ascii="宋体" w:hAnsi="宋体"/>
                <w:sz w:val="24"/>
              </w:rPr>
              <w:t>2万元（以人民币计）。</w:t>
            </w:r>
          </w:p>
          <w:p w14:paraId="0822B8E0">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2.开户行：收款单位：长春净月高新技术产业开发区机关财务结算中心；账号：7770520109000022；开户行：吉林银行永顺路支行；地址：长春净月高新技术产业开发区永顺路3106号。转账时须备注“</w:t>
            </w:r>
            <w:r>
              <w:rPr>
                <w:rFonts w:hint="eastAsia" w:ascii="宋体" w:hAnsi="宋体"/>
                <w:sz w:val="24"/>
              </w:rPr>
              <w:t>长春净月高新技术产业开发区</w:t>
            </w:r>
            <w:r>
              <w:rPr>
                <w:rFonts w:hint="eastAsia" w:ascii="宋体" w:hAnsi="宋体"/>
                <w:sz w:val="24"/>
                <w:lang w:eastAsia="zh-CN"/>
              </w:rPr>
              <w:t>教育</w:t>
            </w:r>
            <w:r>
              <w:rPr>
                <w:rFonts w:hint="eastAsia" w:ascii="宋体" w:hAnsi="宋体"/>
                <w:sz w:val="24"/>
              </w:rPr>
              <w:t>局</w:t>
            </w:r>
            <w:r>
              <w:rPr>
                <w:rFonts w:hint="eastAsia" w:ascii="宋体" w:hAnsi="宋体"/>
                <w:sz w:val="24"/>
                <w:lang w:val="en-US" w:eastAsia="zh-CN"/>
              </w:rPr>
              <w:t>2025年薄弱环节改善</w:t>
            </w:r>
            <w:r>
              <w:rPr>
                <w:rFonts w:hint="eastAsia" w:ascii="宋体" w:hAnsi="宋体"/>
                <w:sz w:val="24"/>
              </w:rPr>
              <w:t>采购项目</w:t>
            </w:r>
            <w:r>
              <w:rPr>
                <w:rFonts w:hint="eastAsia" w:ascii="宋体" w:hAnsi="宋体"/>
                <w:color w:val="000000" w:themeColor="text1"/>
                <w:sz w:val="24"/>
                <w14:textFill>
                  <w14:solidFill>
                    <w14:schemeClr w14:val="tx1"/>
                  </w14:solidFill>
                </w14:textFill>
              </w:rPr>
              <w:t>”字样。</w:t>
            </w:r>
          </w:p>
        </w:tc>
      </w:tr>
    </w:tbl>
    <w:p w14:paraId="5D772B42">
      <w:pPr>
        <w:spacing w:before="180" w:beforeLines="75" w:line="360" w:lineRule="auto"/>
        <w:rPr>
          <w:rFonts w:ascii="宋体" w:hAnsi="宋体"/>
          <w:sz w:val="24"/>
        </w:rPr>
        <w:sectPr>
          <w:pgSz w:w="11907" w:h="16840"/>
          <w:pgMar w:top="1134" w:right="1134" w:bottom="1134" w:left="1418" w:header="1021" w:footer="1021" w:gutter="170"/>
          <w:paperSrc w:first="15" w:other="15"/>
          <w:cols w:space="720" w:num="1"/>
          <w:docGrid w:linePitch="271" w:charSpace="0"/>
        </w:sectPr>
      </w:pPr>
    </w:p>
    <w:p w14:paraId="3FC3650F">
      <w:pPr>
        <w:jc w:val="center"/>
        <w:outlineLvl w:val="1"/>
        <w:rPr>
          <w:rFonts w:ascii="宋体"/>
          <w:b/>
          <w:bCs/>
          <w:sz w:val="28"/>
        </w:rPr>
      </w:pPr>
      <w:bookmarkStart w:id="19" w:name="_Toc103723518"/>
      <w:r>
        <w:rPr>
          <w:rFonts w:hint="eastAsia" w:ascii="宋体"/>
          <w:b/>
          <w:bCs/>
          <w:sz w:val="28"/>
        </w:rPr>
        <w:t>二、总则</w:t>
      </w:r>
      <w:bookmarkEnd w:id="19"/>
    </w:p>
    <w:p w14:paraId="4608C15F">
      <w:pPr>
        <w:spacing w:line="360" w:lineRule="auto"/>
        <w:rPr>
          <w:rFonts w:ascii="宋体" w:hAnsi="宋体"/>
          <w:sz w:val="24"/>
        </w:rPr>
      </w:pPr>
      <w:r>
        <w:rPr>
          <w:rFonts w:hint="eastAsia" w:ascii="宋体" w:hAnsi="宋体"/>
          <w:b/>
          <w:sz w:val="24"/>
        </w:rPr>
        <w:t>1.项目概况</w:t>
      </w:r>
    </w:p>
    <w:p w14:paraId="58EF39F1">
      <w:pPr>
        <w:spacing w:line="360" w:lineRule="auto"/>
        <w:rPr>
          <w:rFonts w:ascii="宋体" w:hAnsi="宋体"/>
          <w:sz w:val="24"/>
        </w:rPr>
      </w:pPr>
      <w:r>
        <w:rPr>
          <w:rFonts w:hint="eastAsia" w:ascii="宋体" w:hAnsi="宋体"/>
          <w:sz w:val="24"/>
        </w:rPr>
        <w:t>1.1根据《中华人民共和国政府采购法》、《中华人民共和国招标投标法》等有关法律、法规和规章的规定，本采购项目已经具备招标条件，现对项目进行采购。</w:t>
      </w:r>
    </w:p>
    <w:p w14:paraId="6C8EC9FC">
      <w:pPr>
        <w:spacing w:line="360" w:lineRule="auto"/>
        <w:rPr>
          <w:rFonts w:ascii="宋体" w:hAnsi="宋体"/>
          <w:sz w:val="24"/>
        </w:rPr>
      </w:pPr>
      <w:r>
        <w:rPr>
          <w:rFonts w:hint="eastAsia" w:ascii="宋体" w:hAnsi="宋体"/>
          <w:sz w:val="24"/>
        </w:rPr>
        <w:t>1.2本采购项目采购人：见本须知前附表。</w:t>
      </w:r>
    </w:p>
    <w:p w14:paraId="3CE7B6EB">
      <w:pPr>
        <w:spacing w:line="360" w:lineRule="auto"/>
        <w:rPr>
          <w:rFonts w:ascii="宋体" w:hAnsi="宋体"/>
          <w:sz w:val="24"/>
        </w:rPr>
      </w:pPr>
      <w:r>
        <w:rPr>
          <w:rFonts w:hint="eastAsia" w:ascii="宋体" w:hAnsi="宋体"/>
          <w:sz w:val="24"/>
        </w:rPr>
        <w:t>1.3本采购项目集中采购机构：见本须知前附表。</w:t>
      </w:r>
    </w:p>
    <w:p w14:paraId="20611E47">
      <w:pPr>
        <w:spacing w:line="360" w:lineRule="auto"/>
        <w:rPr>
          <w:rFonts w:ascii="宋体" w:hAnsi="宋体"/>
          <w:sz w:val="24"/>
        </w:rPr>
      </w:pPr>
      <w:r>
        <w:rPr>
          <w:rFonts w:hint="eastAsia" w:ascii="宋体" w:hAnsi="宋体"/>
          <w:sz w:val="24"/>
        </w:rPr>
        <w:t>1.4本采购项目名称及项目编号：见本须知前附表。</w:t>
      </w:r>
    </w:p>
    <w:p w14:paraId="48D35984">
      <w:pPr>
        <w:spacing w:line="360" w:lineRule="auto"/>
        <w:rPr>
          <w:rFonts w:ascii="宋体" w:hAnsi="宋体"/>
          <w:sz w:val="24"/>
        </w:rPr>
      </w:pPr>
      <w:r>
        <w:rPr>
          <w:rFonts w:hint="eastAsia" w:ascii="宋体" w:hAnsi="宋体"/>
          <w:sz w:val="24"/>
        </w:rPr>
        <w:t>1.5本项目实施地点：见本须知前附表。</w:t>
      </w:r>
    </w:p>
    <w:p w14:paraId="6F1E00FB">
      <w:pPr>
        <w:spacing w:line="360" w:lineRule="auto"/>
        <w:rPr>
          <w:rFonts w:ascii="宋体" w:hAnsi="宋体"/>
          <w:sz w:val="24"/>
        </w:rPr>
      </w:pPr>
      <w:r>
        <w:rPr>
          <w:rFonts w:hint="eastAsia" w:ascii="宋体" w:hAnsi="宋体"/>
          <w:b/>
          <w:sz w:val="24"/>
        </w:rPr>
        <w:t>2.资金来源和落实情况</w:t>
      </w:r>
    </w:p>
    <w:p w14:paraId="6D1889D4">
      <w:pPr>
        <w:spacing w:line="360" w:lineRule="auto"/>
        <w:rPr>
          <w:rFonts w:ascii="宋体" w:hAnsi="宋体"/>
          <w:sz w:val="24"/>
        </w:rPr>
      </w:pPr>
      <w:r>
        <w:rPr>
          <w:rFonts w:hint="eastAsia" w:ascii="宋体" w:hAnsi="宋体"/>
          <w:sz w:val="24"/>
        </w:rPr>
        <w:t>2.1本次采购项目的资金来源：见本须知前附表。</w:t>
      </w:r>
    </w:p>
    <w:p w14:paraId="616C728A">
      <w:pPr>
        <w:spacing w:line="360" w:lineRule="auto"/>
        <w:rPr>
          <w:rFonts w:ascii="宋体" w:hAnsi="宋体"/>
          <w:sz w:val="24"/>
        </w:rPr>
      </w:pPr>
      <w:r>
        <w:rPr>
          <w:rFonts w:hint="eastAsia" w:ascii="宋体" w:hAnsi="宋体"/>
          <w:sz w:val="24"/>
        </w:rPr>
        <w:t>2.2本次采购项目的资金落实情况：见本须知前附表。</w:t>
      </w:r>
    </w:p>
    <w:p w14:paraId="187300F6">
      <w:pPr>
        <w:spacing w:line="360" w:lineRule="auto"/>
        <w:rPr>
          <w:rFonts w:ascii="宋体" w:hAnsi="宋体"/>
          <w:b/>
          <w:sz w:val="24"/>
        </w:rPr>
      </w:pPr>
      <w:r>
        <w:rPr>
          <w:rFonts w:hint="eastAsia" w:ascii="宋体" w:hAnsi="宋体"/>
          <w:b/>
          <w:sz w:val="24"/>
        </w:rPr>
        <w:t>3</w:t>
      </w:r>
      <w:r>
        <w:rPr>
          <w:rFonts w:ascii="宋体" w:hAnsi="宋体"/>
          <w:b/>
          <w:sz w:val="24"/>
        </w:rPr>
        <w:t>.</w:t>
      </w:r>
      <w:r>
        <w:rPr>
          <w:rFonts w:hint="eastAsia" w:ascii="宋体" w:hAnsi="宋体"/>
          <w:b/>
          <w:sz w:val="24"/>
        </w:rPr>
        <w:t>谈判采购内容、服务期和质量要求</w:t>
      </w:r>
    </w:p>
    <w:p w14:paraId="0EF89544">
      <w:pPr>
        <w:spacing w:line="360" w:lineRule="auto"/>
        <w:rPr>
          <w:rFonts w:ascii="宋体" w:hAnsi="宋体"/>
          <w:sz w:val="24"/>
        </w:rPr>
      </w:pPr>
      <w:r>
        <w:rPr>
          <w:rFonts w:hint="eastAsia" w:ascii="宋体" w:hAnsi="宋体"/>
          <w:sz w:val="24"/>
        </w:rPr>
        <w:t>3.1本次谈判采购内容：见本须知前附表。</w:t>
      </w:r>
    </w:p>
    <w:p w14:paraId="71831882">
      <w:pPr>
        <w:spacing w:line="360" w:lineRule="auto"/>
        <w:rPr>
          <w:rFonts w:ascii="宋体" w:hAnsi="宋体"/>
          <w:sz w:val="24"/>
        </w:rPr>
      </w:pPr>
      <w:r>
        <w:rPr>
          <w:rFonts w:hint="eastAsia" w:ascii="宋体" w:hAnsi="宋体"/>
          <w:sz w:val="24"/>
        </w:rPr>
        <w:t>3.2本次采购的供货期：见本须知前附表。</w:t>
      </w:r>
    </w:p>
    <w:p w14:paraId="4D502604">
      <w:pPr>
        <w:spacing w:line="360" w:lineRule="auto"/>
        <w:rPr>
          <w:rFonts w:ascii="宋体" w:hAnsi="宋体"/>
          <w:sz w:val="24"/>
        </w:rPr>
      </w:pPr>
      <w:r>
        <w:rPr>
          <w:rFonts w:hint="eastAsia" w:ascii="宋体" w:hAnsi="宋体"/>
          <w:sz w:val="24"/>
        </w:rPr>
        <w:t>3.3本项目的质量要求：见本须知前附表。</w:t>
      </w:r>
    </w:p>
    <w:p w14:paraId="16CF4BC9">
      <w:pPr>
        <w:spacing w:line="360" w:lineRule="auto"/>
        <w:rPr>
          <w:rFonts w:ascii="宋体" w:hAnsi="宋体"/>
          <w:b/>
          <w:sz w:val="24"/>
        </w:rPr>
      </w:pPr>
      <w:r>
        <w:rPr>
          <w:rFonts w:hint="eastAsia" w:ascii="宋体" w:hAnsi="宋体"/>
          <w:b/>
          <w:sz w:val="24"/>
        </w:rPr>
        <w:t>4.响应谈判供应商的资格标准与合格条件</w:t>
      </w:r>
    </w:p>
    <w:p w14:paraId="299B19D0">
      <w:pPr>
        <w:spacing w:line="360" w:lineRule="auto"/>
        <w:rPr>
          <w:rFonts w:ascii="宋体" w:hAnsi="宋体"/>
          <w:sz w:val="24"/>
        </w:rPr>
      </w:pPr>
      <w:r>
        <w:rPr>
          <w:rFonts w:hint="eastAsia" w:ascii="宋体" w:hAnsi="宋体"/>
          <w:sz w:val="24"/>
        </w:rPr>
        <w:t>4.1响应谈判供应商应具备承担本项目的资质条件：见本须知前附表。</w:t>
      </w:r>
    </w:p>
    <w:p w14:paraId="3E3A1874">
      <w:pPr>
        <w:spacing w:line="360" w:lineRule="auto"/>
        <w:rPr>
          <w:rFonts w:ascii="宋体" w:hAnsi="宋体"/>
          <w:sz w:val="24"/>
        </w:rPr>
      </w:pPr>
      <w:r>
        <w:rPr>
          <w:rFonts w:ascii="宋体" w:hAnsi="宋体"/>
          <w:sz w:val="24"/>
        </w:rPr>
        <w:t>4</w:t>
      </w:r>
      <w:r>
        <w:rPr>
          <w:rFonts w:hint="eastAsia" w:ascii="宋体" w:hAnsi="宋体"/>
          <w:sz w:val="24"/>
        </w:rPr>
        <w:t>.2本项目是否接授联合体响应：见本须知前附表。</w:t>
      </w:r>
    </w:p>
    <w:p w14:paraId="55C8F674">
      <w:pPr>
        <w:spacing w:line="360" w:lineRule="auto"/>
        <w:rPr>
          <w:rFonts w:ascii="宋体" w:hAnsi="宋体"/>
          <w:sz w:val="24"/>
        </w:rPr>
      </w:pPr>
      <w:r>
        <w:rPr>
          <w:rFonts w:hint="eastAsia" w:ascii="宋体" w:hAnsi="宋体"/>
          <w:sz w:val="24"/>
        </w:rPr>
        <w:t>4.3响应谈判供应商不得存在下列情形之一：</w:t>
      </w:r>
    </w:p>
    <w:p w14:paraId="19A39197">
      <w:pPr>
        <w:spacing w:line="360" w:lineRule="auto"/>
        <w:rPr>
          <w:rFonts w:ascii="宋体" w:hAnsi="宋体"/>
          <w:sz w:val="24"/>
        </w:rPr>
      </w:pPr>
      <w:r>
        <w:rPr>
          <w:rFonts w:hint="eastAsia" w:ascii="宋体" w:hAnsi="宋体"/>
          <w:sz w:val="24"/>
        </w:rPr>
        <w:t>4.3.1为采购人的不具有独立法人资格的附属机构（单位）；</w:t>
      </w:r>
    </w:p>
    <w:p w14:paraId="33151257">
      <w:pPr>
        <w:spacing w:line="360" w:lineRule="auto"/>
        <w:rPr>
          <w:rFonts w:ascii="宋体" w:hAnsi="宋体"/>
          <w:sz w:val="24"/>
        </w:rPr>
      </w:pPr>
      <w:r>
        <w:rPr>
          <w:rFonts w:ascii="宋体" w:hAnsi="宋体"/>
          <w:sz w:val="24"/>
        </w:rPr>
        <w:t>4.3.2</w:t>
      </w:r>
      <w:r>
        <w:rPr>
          <w:rFonts w:hint="eastAsia" w:ascii="宋体" w:hAnsi="宋体"/>
          <w:sz w:val="24"/>
        </w:rPr>
        <w:t>与</w:t>
      </w:r>
      <w:r>
        <w:rPr>
          <w:rFonts w:ascii="宋体" w:hAnsi="宋体"/>
          <w:sz w:val="24"/>
        </w:rPr>
        <w:t>本项目其他响应谈判供应商</w:t>
      </w:r>
      <w:r>
        <w:rPr>
          <w:rFonts w:hint="eastAsia" w:ascii="宋体" w:hAnsi="宋体"/>
          <w:sz w:val="24"/>
        </w:rPr>
        <w:t>单位</w:t>
      </w:r>
      <w:r>
        <w:rPr>
          <w:rFonts w:ascii="宋体" w:hAnsi="宋体"/>
          <w:sz w:val="24"/>
        </w:rPr>
        <w:t>负责人为同一人</w:t>
      </w:r>
      <w:r>
        <w:rPr>
          <w:rFonts w:hint="eastAsia" w:ascii="宋体" w:hAnsi="宋体"/>
          <w:sz w:val="24"/>
        </w:rPr>
        <w:t>或</w:t>
      </w:r>
      <w:r>
        <w:rPr>
          <w:rFonts w:ascii="宋体" w:hAnsi="宋体"/>
          <w:sz w:val="24"/>
        </w:rPr>
        <w:t>存在控股</w:t>
      </w:r>
      <w:r>
        <w:rPr>
          <w:rFonts w:hint="eastAsia" w:ascii="宋体" w:hAnsi="宋体"/>
          <w:sz w:val="24"/>
        </w:rPr>
        <w:t>、</w:t>
      </w:r>
      <w:r>
        <w:rPr>
          <w:rFonts w:ascii="宋体" w:hAnsi="宋体"/>
          <w:sz w:val="24"/>
        </w:rPr>
        <w:t>管理关系的；</w:t>
      </w:r>
    </w:p>
    <w:p w14:paraId="4A6D6E32">
      <w:pPr>
        <w:spacing w:line="360" w:lineRule="auto"/>
        <w:rPr>
          <w:rFonts w:ascii="宋体" w:hAnsi="宋体"/>
          <w:sz w:val="24"/>
        </w:rPr>
      </w:pPr>
      <w:r>
        <w:rPr>
          <w:rFonts w:hint="eastAsia" w:ascii="宋体" w:hAnsi="宋体"/>
          <w:sz w:val="24"/>
        </w:rPr>
        <w:t>4.3.</w:t>
      </w:r>
      <w:r>
        <w:rPr>
          <w:rFonts w:ascii="宋体" w:hAnsi="宋体"/>
          <w:sz w:val="24"/>
        </w:rPr>
        <w:t>3</w:t>
      </w:r>
      <w:r>
        <w:rPr>
          <w:rFonts w:hint="eastAsia" w:ascii="宋体" w:hAnsi="宋体"/>
          <w:sz w:val="24"/>
        </w:rPr>
        <w:t>为本项目前期准备提供设计或咨询服务的；</w:t>
      </w:r>
    </w:p>
    <w:p w14:paraId="63293ECA">
      <w:pPr>
        <w:spacing w:line="360" w:lineRule="auto"/>
        <w:rPr>
          <w:rFonts w:ascii="宋体" w:hAnsi="宋体"/>
          <w:sz w:val="24"/>
        </w:rPr>
      </w:pPr>
      <w:r>
        <w:rPr>
          <w:rFonts w:hint="eastAsia" w:ascii="宋体" w:hAnsi="宋体"/>
          <w:sz w:val="24"/>
        </w:rPr>
        <w:t>4.3.</w:t>
      </w:r>
      <w:r>
        <w:rPr>
          <w:rFonts w:ascii="宋体" w:hAnsi="宋体"/>
          <w:sz w:val="24"/>
        </w:rPr>
        <w:t>4</w:t>
      </w:r>
      <w:r>
        <w:rPr>
          <w:rFonts w:hint="eastAsia" w:ascii="宋体" w:hAnsi="宋体"/>
          <w:sz w:val="24"/>
        </w:rPr>
        <w:t>被责令停业的；</w:t>
      </w:r>
    </w:p>
    <w:p w14:paraId="405AC84A">
      <w:pPr>
        <w:spacing w:line="360" w:lineRule="auto"/>
        <w:rPr>
          <w:rFonts w:ascii="宋体" w:hAnsi="宋体"/>
          <w:sz w:val="24"/>
        </w:rPr>
      </w:pPr>
      <w:r>
        <w:rPr>
          <w:rFonts w:hint="eastAsia" w:ascii="宋体" w:hAnsi="宋体"/>
          <w:sz w:val="24"/>
        </w:rPr>
        <w:t>4.3.5被暂停或取消谈判资格的；</w:t>
      </w:r>
    </w:p>
    <w:p w14:paraId="75C290DA">
      <w:pPr>
        <w:spacing w:line="360" w:lineRule="auto"/>
        <w:rPr>
          <w:rFonts w:ascii="宋体" w:hAnsi="宋体"/>
          <w:sz w:val="24"/>
        </w:rPr>
      </w:pPr>
      <w:r>
        <w:rPr>
          <w:rFonts w:hint="eastAsia" w:ascii="宋体" w:hAnsi="宋体"/>
          <w:sz w:val="24"/>
        </w:rPr>
        <w:t>4.3.6财产被接管或冻结的；</w:t>
      </w:r>
    </w:p>
    <w:p w14:paraId="443BF075">
      <w:pPr>
        <w:spacing w:line="360" w:lineRule="auto"/>
        <w:rPr>
          <w:rFonts w:ascii="宋体" w:hAnsi="宋体"/>
          <w:sz w:val="24"/>
        </w:rPr>
      </w:pPr>
      <w:r>
        <w:rPr>
          <w:rFonts w:hint="eastAsia" w:ascii="宋体" w:hAnsi="宋体"/>
          <w:sz w:val="24"/>
        </w:rPr>
        <w:t>4.3.7在最近三年内有骗取中标或严重违约或重大质量问题的；</w:t>
      </w:r>
    </w:p>
    <w:p w14:paraId="4A849CAF">
      <w:pPr>
        <w:spacing w:line="360" w:lineRule="auto"/>
        <w:rPr>
          <w:rFonts w:ascii="宋体" w:hAnsi="宋体"/>
          <w:sz w:val="24"/>
        </w:rPr>
      </w:pPr>
      <w:r>
        <w:rPr>
          <w:rFonts w:hint="eastAsia" w:ascii="宋体" w:hAnsi="宋体"/>
          <w:b/>
          <w:sz w:val="24"/>
        </w:rPr>
        <w:t>5.谈判响应费用</w:t>
      </w:r>
    </w:p>
    <w:p w14:paraId="5C7BB9CB">
      <w:pPr>
        <w:spacing w:line="360" w:lineRule="auto"/>
        <w:ind w:firstLine="480" w:firstLineChars="200"/>
        <w:rPr>
          <w:rFonts w:ascii="宋体" w:hAnsi="宋体"/>
          <w:sz w:val="24"/>
        </w:rPr>
      </w:pPr>
      <w:r>
        <w:rPr>
          <w:rFonts w:hint="eastAsia" w:ascii="宋体" w:hAnsi="宋体"/>
          <w:sz w:val="24"/>
        </w:rPr>
        <w:t>响应谈判供应商应承担其从谈判报名直至谈判响应文件提交的谈判全过程所涉及的一切费用。在任何情况下采购人对上述费用均不负任何责任。</w:t>
      </w:r>
    </w:p>
    <w:p w14:paraId="119380E2">
      <w:pPr>
        <w:spacing w:line="360" w:lineRule="auto"/>
        <w:rPr>
          <w:rFonts w:ascii="宋体" w:hAnsi="宋体"/>
          <w:b/>
          <w:sz w:val="24"/>
        </w:rPr>
      </w:pPr>
      <w:r>
        <w:rPr>
          <w:rFonts w:hint="eastAsia" w:ascii="宋体" w:hAnsi="宋体"/>
          <w:b/>
          <w:sz w:val="24"/>
        </w:rPr>
        <w:t>6.语言文字</w:t>
      </w:r>
    </w:p>
    <w:p w14:paraId="62C4134D">
      <w:pPr>
        <w:spacing w:line="360" w:lineRule="auto"/>
        <w:ind w:firstLine="480"/>
        <w:rPr>
          <w:rFonts w:ascii="宋体" w:hAnsi="宋体"/>
          <w:sz w:val="24"/>
        </w:rPr>
      </w:pPr>
      <w:r>
        <w:rPr>
          <w:rFonts w:hint="eastAsia" w:ascii="宋体" w:hAnsi="宋体"/>
          <w:sz w:val="24"/>
        </w:rPr>
        <w:t>除专用术语外，与招标投标有关的语言均使用中文。必要时专用术语应附有中文注释。</w:t>
      </w:r>
    </w:p>
    <w:p w14:paraId="17254977">
      <w:pPr>
        <w:spacing w:line="360" w:lineRule="auto"/>
        <w:rPr>
          <w:rFonts w:ascii="宋体" w:hAnsi="宋体"/>
          <w:b/>
          <w:sz w:val="24"/>
        </w:rPr>
      </w:pPr>
      <w:r>
        <w:rPr>
          <w:rFonts w:hint="eastAsia" w:ascii="宋体" w:hAnsi="宋体"/>
          <w:b/>
          <w:sz w:val="24"/>
        </w:rPr>
        <w:t>7.计量单位</w:t>
      </w:r>
    </w:p>
    <w:p w14:paraId="0C802191">
      <w:pPr>
        <w:spacing w:line="360" w:lineRule="auto"/>
        <w:ind w:firstLine="480" w:firstLineChars="200"/>
        <w:rPr>
          <w:rFonts w:ascii="宋体" w:hAnsi="宋体"/>
          <w:sz w:val="24"/>
        </w:rPr>
      </w:pPr>
      <w:r>
        <w:rPr>
          <w:rFonts w:hint="eastAsia" w:ascii="宋体" w:hAnsi="宋体"/>
          <w:sz w:val="24"/>
        </w:rPr>
        <w:t>所有的计量均采用中华人民共和国法定计量单位。</w:t>
      </w:r>
    </w:p>
    <w:p w14:paraId="2A946828">
      <w:pPr>
        <w:spacing w:line="360" w:lineRule="auto"/>
        <w:rPr>
          <w:rFonts w:ascii="宋体" w:hAnsi="宋体"/>
          <w:b/>
          <w:sz w:val="24"/>
        </w:rPr>
      </w:pPr>
      <w:r>
        <w:rPr>
          <w:rFonts w:hint="eastAsia" w:ascii="宋体" w:hAnsi="宋体"/>
          <w:b/>
          <w:sz w:val="24"/>
        </w:rPr>
        <w:t>8.现场踏勘</w:t>
      </w:r>
    </w:p>
    <w:p w14:paraId="1A6C8E04">
      <w:pPr>
        <w:spacing w:line="360" w:lineRule="auto"/>
        <w:rPr>
          <w:rFonts w:ascii="宋体" w:hAnsi="宋体"/>
          <w:sz w:val="24"/>
        </w:rPr>
      </w:pPr>
      <w:r>
        <w:rPr>
          <w:rFonts w:hint="eastAsia" w:ascii="宋体" w:hAnsi="宋体"/>
          <w:sz w:val="24"/>
        </w:rPr>
        <w:t>8.1采购人将按本须知前附表所述时间，组织响应谈判供应商对项目现场及周围环境进行踏勘，以便响应谈判供应商获取有关编制谈判响应文件和签署项目实施合同所涉及现场的各项资料，响应谈判供应商应承担现场踏勘的责任和风险。</w:t>
      </w:r>
    </w:p>
    <w:p w14:paraId="5190EDDE">
      <w:pPr>
        <w:spacing w:line="360" w:lineRule="auto"/>
        <w:rPr>
          <w:rFonts w:ascii="宋体" w:hAnsi="宋体"/>
          <w:sz w:val="24"/>
        </w:rPr>
      </w:pPr>
      <w:r>
        <w:rPr>
          <w:rFonts w:hint="eastAsia" w:ascii="宋体" w:hAnsi="宋体"/>
          <w:sz w:val="24"/>
        </w:rPr>
        <w:t>8.2采购人向响应谈判供应商提供的有关现场数据的资料，是采购人现有的能被响应谈判供应商利用的资料，采购人对响应谈判供应商做出的任何推论、理解和结论不负责任。</w:t>
      </w:r>
    </w:p>
    <w:p w14:paraId="40024340">
      <w:pPr>
        <w:spacing w:line="360" w:lineRule="auto"/>
        <w:rPr>
          <w:rFonts w:ascii="宋体" w:hAnsi="宋体"/>
          <w:sz w:val="24"/>
        </w:rPr>
      </w:pPr>
      <w:r>
        <w:rPr>
          <w:rFonts w:hint="eastAsia" w:ascii="宋体" w:hAnsi="宋体"/>
          <w:sz w:val="24"/>
        </w:rPr>
        <w:t>8.3经采购人允许，响应谈判供应商可以以踏勘为目的进入采购人的项目现场，但响应谈判供应商不得因此使采购人承担有关的责任和蒙受损失。</w:t>
      </w:r>
    </w:p>
    <w:p w14:paraId="31DAD3C7">
      <w:pPr>
        <w:spacing w:line="360" w:lineRule="auto"/>
        <w:rPr>
          <w:rFonts w:ascii="宋体" w:hAnsi="宋体"/>
          <w:b/>
          <w:sz w:val="24"/>
        </w:rPr>
      </w:pPr>
      <w:r>
        <w:rPr>
          <w:rFonts w:hint="eastAsia" w:ascii="宋体" w:hAnsi="宋体"/>
          <w:b/>
          <w:sz w:val="24"/>
        </w:rPr>
        <w:t>9.答疑会</w:t>
      </w:r>
    </w:p>
    <w:p w14:paraId="32FB57DB">
      <w:pPr>
        <w:spacing w:line="360" w:lineRule="auto"/>
        <w:rPr>
          <w:rFonts w:ascii="宋体" w:hAnsi="宋体"/>
          <w:sz w:val="24"/>
        </w:rPr>
      </w:pPr>
      <w:r>
        <w:rPr>
          <w:rFonts w:hint="eastAsia" w:ascii="宋体" w:hAnsi="宋体"/>
          <w:sz w:val="24"/>
        </w:rPr>
        <w:t>9.1响应谈判供应商应在本须知前附表中规定的答疑会时间，以书面形式将提出的问题送达长春净月高新技术产业开发区政府采购中心，以便及时澄清。</w:t>
      </w:r>
    </w:p>
    <w:p w14:paraId="6F6628E0">
      <w:pPr>
        <w:spacing w:line="360" w:lineRule="auto"/>
        <w:rPr>
          <w:rFonts w:ascii="宋体" w:hAnsi="宋体"/>
          <w:sz w:val="24"/>
        </w:rPr>
      </w:pPr>
      <w:r>
        <w:rPr>
          <w:rFonts w:hint="eastAsia" w:ascii="宋体" w:hAnsi="宋体"/>
          <w:sz w:val="24"/>
        </w:rPr>
        <w:t>9.2采购人、集中采购机构在本须知前附表规定的时间组织召开答疑会，会上将对响应谈判供应商所提问题予以澄清，同时以书面方式将问题的澄清通知所有投标报名合格的响应谈判供应商。该澄清内容为谈判文件的组成部分。</w:t>
      </w:r>
    </w:p>
    <w:p w14:paraId="3D3AFBAE">
      <w:pPr>
        <w:spacing w:line="360" w:lineRule="auto"/>
        <w:rPr>
          <w:rFonts w:ascii="宋体" w:hAnsi="宋体"/>
          <w:b/>
          <w:sz w:val="24"/>
        </w:rPr>
      </w:pPr>
      <w:r>
        <w:rPr>
          <w:rFonts w:hint="eastAsia" w:ascii="宋体" w:hAnsi="宋体"/>
          <w:b/>
          <w:sz w:val="24"/>
        </w:rPr>
        <w:t>10.分包</w:t>
      </w:r>
    </w:p>
    <w:p w14:paraId="1AD6280B">
      <w:pPr>
        <w:spacing w:line="360" w:lineRule="auto"/>
        <w:ind w:firstLine="480" w:firstLineChars="200"/>
        <w:rPr>
          <w:rFonts w:ascii="宋体" w:hAnsi="宋体"/>
          <w:sz w:val="24"/>
        </w:rPr>
      </w:pPr>
      <w:r>
        <w:rPr>
          <w:rFonts w:hint="eastAsia" w:ascii="宋体" w:hAnsi="宋体"/>
          <w:sz w:val="24"/>
        </w:rPr>
        <w:t>见本须知前附表。</w:t>
      </w:r>
    </w:p>
    <w:p w14:paraId="24CADBB4">
      <w:pPr>
        <w:spacing w:line="360" w:lineRule="auto"/>
        <w:rPr>
          <w:rFonts w:ascii="宋体" w:hAnsi="宋体"/>
          <w:b/>
          <w:sz w:val="24"/>
        </w:rPr>
      </w:pPr>
      <w:r>
        <w:rPr>
          <w:rFonts w:hint="eastAsia" w:ascii="宋体" w:hAnsi="宋体"/>
          <w:b/>
          <w:sz w:val="24"/>
        </w:rPr>
        <w:t>11.偏离</w:t>
      </w:r>
    </w:p>
    <w:p w14:paraId="155B5A97">
      <w:pPr>
        <w:spacing w:line="360" w:lineRule="auto"/>
        <w:ind w:firstLine="480" w:firstLineChars="200"/>
        <w:rPr>
          <w:rFonts w:ascii="宋体" w:hAnsi="宋体"/>
          <w:sz w:val="24"/>
        </w:rPr>
      </w:pPr>
      <w:r>
        <w:rPr>
          <w:rFonts w:hint="eastAsia" w:ascii="宋体" w:hAnsi="宋体"/>
          <w:sz w:val="24"/>
        </w:rPr>
        <w:t>见本须知前附表。</w:t>
      </w:r>
    </w:p>
    <w:p w14:paraId="6CAF104B">
      <w:pPr>
        <w:spacing w:line="360" w:lineRule="auto"/>
        <w:rPr>
          <w:rFonts w:ascii="宋体" w:hAnsi="宋体"/>
          <w:sz w:val="24"/>
        </w:rPr>
      </w:pPr>
    </w:p>
    <w:p w14:paraId="13110B5A">
      <w:pPr>
        <w:spacing w:line="360" w:lineRule="auto"/>
        <w:jc w:val="center"/>
        <w:outlineLvl w:val="1"/>
        <w:rPr>
          <w:rFonts w:ascii="宋体" w:hAnsi="宋体"/>
          <w:b/>
          <w:sz w:val="24"/>
        </w:rPr>
      </w:pPr>
      <w:bookmarkStart w:id="20" w:name="_Toc103723519"/>
      <w:r>
        <w:rPr>
          <w:rFonts w:hint="eastAsia" w:ascii="宋体" w:hAnsi="宋体"/>
          <w:b/>
          <w:sz w:val="28"/>
        </w:rPr>
        <w:t>三、谈判文件</w:t>
      </w:r>
      <w:bookmarkEnd w:id="20"/>
    </w:p>
    <w:p w14:paraId="0FED4A26">
      <w:pPr>
        <w:spacing w:line="360" w:lineRule="auto"/>
        <w:rPr>
          <w:rFonts w:ascii="宋体" w:hAnsi="宋体"/>
          <w:sz w:val="24"/>
        </w:rPr>
      </w:pPr>
      <w:r>
        <w:rPr>
          <w:rFonts w:hint="eastAsia" w:ascii="宋体" w:hAnsi="宋体"/>
          <w:b/>
          <w:sz w:val="24"/>
        </w:rPr>
        <w:t>12.谈判文件的组成</w:t>
      </w:r>
    </w:p>
    <w:p w14:paraId="1D424E1A">
      <w:pPr>
        <w:spacing w:line="360" w:lineRule="auto"/>
        <w:rPr>
          <w:rFonts w:ascii="宋体" w:hAnsi="宋体"/>
          <w:sz w:val="24"/>
        </w:rPr>
      </w:pPr>
      <w:r>
        <w:rPr>
          <w:rFonts w:hint="eastAsia" w:ascii="宋体" w:hAnsi="宋体"/>
          <w:sz w:val="24"/>
        </w:rPr>
        <w:t>12.1本谈判文件包括下列文件及按本须知第9条所述的答疑文件、第14条发出的补充文件。</w:t>
      </w:r>
    </w:p>
    <w:p w14:paraId="13BAFB10">
      <w:pPr>
        <w:spacing w:line="360" w:lineRule="auto"/>
        <w:ind w:firstLine="480" w:firstLineChars="200"/>
        <w:rPr>
          <w:rFonts w:ascii="宋体" w:hAnsi="宋体"/>
          <w:sz w:val="24"/>
        </w:rPr>
      </w:pPr>
      <w:r>
        <w:rPr>
          <w:rFonts w:hint="eastAsia" w:ascii="宋体" w:hAnsi="宋体"/>
          <w:sz w:val="24"/>
        </w:rPr>
        <w:t>第一章  竞争性谈判</w:t>
      </w:r>
      <w:r>
        <w:rPr>
          <w:rFonts w:ascii="宋体" w:hAnsi="宋体"/>
          <w:sz w:val="24"/>
        </w:rPr>
        <w:t>采购</w:t>
      </w:r>
      <w:r>
        <w:rPr>
          <w:rFonts w:hint="eastAsia" w:ascii="宋体" w:hAnsi="宋体"/>
          <w:sz w:val="24"/>
        </w:rPr>
        <w:t>公告</w:t>
      </w:r>
    </w:p>
    <w:p w14:paraId="073E5076">
      <w:pPr>
        <w:spacing w:line="360" w:lineRule="auto"/>
        <w:ind w:firstLine="480" w:firstLineChars="200"/>
        <w:rPr>
          <w:rFonts w:ascii="宋体" w:hAnsi="宋体"/>
          <w:sz w:val="24"/>
        </w:rPr>
      </w:pPr>
      <w:r>
        <w:rPr>
          <w:rFonts w:hint="eastAsia" w:ascii="宋体" w:hAnsi="宋体"/>
          <w:sz w:val="24"/>
        </w:rPr>
        <w:t>第二章  项目需求</w:t>
      </w:r>
    </w:p>
    <w:p w14:paraId="7CA16274">
      <w:pPr>
        <w:spacing w:line="360" w:lineRule="auto"/>
        <w:ind w:firstLine="480" w:firstLineChars="200"/>
        <w:rPr>
          <w:rFonts w:ascii="宋体" w:hAnsi="宋体"/>
          <w:sz w:val="24"/>
        </w:rPr>
      </w:pPr>
      <w:r>
        <w:rPr>
          <w:rFonts w:hint="eastAsia" w:ascii="宋体" w:hAnsi="宋体"/>
          <w:sz w:val="24"/>
        </w:rPr>
        <w:t>第三章  响应谈判供应商须知</w:t>
      </w:r>
    </w:p>
    <w:p w14:paraId="564B070F">
      <w:pPr>
        <w:spacing w:line="360" w:lineRule="auto"/>
        <w:ind w:firstLine="480" w:firstLineChars="200"/>
        <w:rPr>
          <w:rFonts w:ascii="宋体" w:hAnsi="宋体"/>
          <w:sz w:val="24"/>
        </w:rPr>
      </w:pPr>
      <w:r>
        <w:rPr>
          <w:rFonts w:hint="eastAsia" w:ascii="宋体" w:hAnsi="宋体"/>
          <w:sz w:val="24"/>
        </w:rPr>
        <w:t>第四章  政府采购合同</w:t>
      </w:r>
    </w:p>
    <w:p w14:paraId="175A9B4D">
      <w:pPr>
        <w:spacing w:line="360" w:lineRule="auto"/>
        <w:ind w:firstLine="480" w:firstLineChars="200"/>
        <w:rPr>
          <w:rFonts w:ascii="宋体" w:hAnsi="宋体"/>
          <w:sz w:val="24"/>
        </w:rPr>
      </w:pPr>
      <w:r>
        <w:rPr>
          <w:rFonts w:hint="eastAsia" w:ascii="宋体" w:hAnsi="宋体"/>
          <w:sz w:val="24"/>
        </w:rPr>
        <w:t>第五章  评审办法</w:t>
      </w:r>
    </w:p>
    <w:p w14:paraId="0A048C14">
      <w:pPr>
        <w:spacing w:line="360" w:lineRule="auto"/>
        <w:ind w:firstLine="480" w:firstLineChars="200"/>
        <w:rPr>
          <w:rFonts w:ascii="宋体" w:hAnsi="宋体"/>
          <w:sz w:val="24"/>
        </w:rPr>
      </w:pPr>
      <w:r>
        <w:rPr>
          <w:rFonts w:hint="eastAsia" w:ascii="宋体" w:hAnsi="宋体"/>
          <w:sz w:val="24"/>
        </w:rPr>
        <w:t>第六章  谈判响应文件格式</w:t>
      </w:r>
    </w:p>
    <w:p w14:paraId="6B7E8A18">
      <w:pPr>
        <w:spacing w:line="360" w:lineRule="auto"/>
        <w:rPr>
          <w:rFonts w:ascii="宋体" w:hAnsi="宋体"/>
          <w:sz w:val="24"/>
        </w:rPr>
      </w:pPr>
      <w:r>
        <w:rPr>
          <w:rFonts w:hint="eastAsia" w:ascii="宋体" w:hAnsi="宋体"/>
          <w:sz w:val="24"/>
        </w:rPr>
        <w:t>12.2除9.1内容外，采购机构在谈判响应截止期之前，以书面形式（公告）发出的对谈判文件的澄清或修改内容，均为谈判文件的组成部分，对采购人和响应谈判供应商起约束作用。</w:t>
      </w:r>
    </w:p>
    <w:p w14:paraId="7084A8B6">
      <w:pPr>
        <w:spacing w:line="360" w:lineRule="auto"/>
        <w:rPr>
          <w:rFonts w:ascii="宋体" w:hAnsi="宋体"/>
          <w:b/>
          <w:sz w:val="24"/>
        </w:rPr>
      </w:pPr>
      <w:r>
        <w:rPr>
          <w:rFonts w:hint="eastAsia" w:ascii="宋体" w:hAnsi="宋体"/>
          <w:b/>
          <w:bCs/>
          <w:sz w:val="24"/>
        </w:rPr>
        <w:t>13.</w:t>
      </w:r>
      <w:r>
        <w:rPr>
          <w:rFonts w:hint="eastAsia" w:ascii="宋体" w:hAnsi="宋体"/>
          <w:b/>
          <w:sz w:val="24"/>
        </w:rPr>
        <w:t>谈判文件的澄清</w:t>
      </w:r>
    </w:p>
    <w:p w14:paraId="2C4940D5">
      <w:pPr>
        <w:spacing w:line="360" w:lineRule="auto"/>
        <w:rPr>
          <w:rFonts w:ascii="宋体" w:hAnsi="宋体"/>
          <w:sz w:val="24"/>
        </w:rPr>
      </w:pPr>
      <w:r>
        <w:rPr>
          <w:rFonts w:hint="eastAsia" w:ascii="宋体" w:hAnsi="宋体"/>
          <w:sz w:val="24"/>
        </w:rPr>
        <w:t>13.1响应谈判供应商获取谈判文件后，应仔细检查谈判文件的所有内容，如有疑问，应在本须知前附表规定的答疑会时间将谈判文件中需澄清的问题以书面形式（一式两份）递交给采购机构。</w:t>
      </w:r>
    </w:p>
    <w:p w14:paraId="114908D1">
      <w:pPr>
        <w:spacing w:line="360" w:lineRule="auto"/>
        <w:rPr>
          <w:rFonts w:ascii="宋体" w:hAnsi="宋体"/>
          <w:sz w:val="24"/>
        </w:rPr>
      </w:pPr>
      <w:r>
        <w:rPr>
          <w:rFonts w:hint="eastAsia" w:ascii="宋体" w:hAnsi="宋体"/>
          <w:sz w:val="24"/>
        </w:rPr>
        <w:t>13.2响应谈判供应商按本须知前附表所述时间和地点出席谈判响应答疑会，采购人和采购中心将对响应谈判供应商对谈判文件的疑问予以澄清。如有必要，采购中心将澄清内容形成澄清文件（包括对需澄清问题的说明，但不指明问题的来源）上传“政采云”平台</w:t>
      </w:r>
      <w:r>
        <w:rPr>
          <w:rFonts w:ascii="宋体" w:hAnsi="宋体"/>
          <w:sz w:val="24"/>
        </w:rPr>
        <w:t>，</w:t>
      </w:r>
      <w:r>
        <w:rPr>
          <w:rFonts w:hint="eastAsia" w:ascii="宋体" w:hAnsi="宋体"/>
          <w:sz w:val="24"/>
        </w:rPr>
        <w:t>同时在发布公告媒介上</w:t>
      </w:r>
      <w:r>
        <w:rPr>
          <w:rFonts w:ascii="宋体" w:hAnsi="宋体"/>
          <w:sz w:val="24"/>
        </w:rPr>
        <w:t>发布公告，</w:t>
      </w:r>
      <w:r>
        <w:rPr>
          <w:rFonts w:hint="eastAsia" w:ascii="宋体" w:hAnsi="宋体"/>
          <w:sz w:val="24"/>
        </w:rPr>
        <w:t>以供所有报名参加竞争性</w:t>
      </w:r>
      <w:r>
        <w:rPr>
          <w:rFonts w:ascii="宋体" w:hAnsi="宋体"/>
          <w:sz w:val="24"/>
        </w:rPr>
        <w:t>谈判</w:t>
      </w:r>
      <w:r>
        <w:rPr>
          <w:rFonts w:hint="eastAsia" w:ascii="宋体" w:hAnsi="宋体"/>
          <w:sz w:val="24"/>
        </w:rPr>
        <w:t>的响应谈判供应商下载。</w:t>
      </w:r>
    </w:p>
    <w:p w14:paraId="39E400CF">
      <w:pPr>
        <w:tabs>
          <w:tab w:val="left" w:pos="4214"/>
        </w:tabs>
        <w:spacing w:line="360" w:lineRule="auto"/>
        <w:rPr>
          <w:rFonts w:ascii="宋体" w:hAnsi="宋体"/>
          <w:sz w:val="24"/>
        </w:rPr>
      </w:pPr>
      <w:r>
        <w:rPr>
          <w:rFonts w:ascii="宋体" w:hAnsi="宋体"/>
          <w:sz w:val="24"/>
        </w:rPr>
        <w:t>13.3</w:t>
      </w:r>
      <w:r>
        <w:rPr>
          <w:rFonts w:hint="eastAsia" w:ascii="宋体" w:hAnsi="宋体"/>
          <w:sz w:val="24"/>
        </w:rPr>
        <w:t>该澄清文件作为谈判文件的组成部分，具有约束作用。</w:t>
      </w:r>
    </w:p>
    <w:p w14:paraId="7AFFD897">
      <w:pPr>
        <w:tabs>
          <w:tab w:val="left" w:pos="4214"/>
        </w:tabs>
        <w:spacing w:line="360" w:lineRule="auto"/>
        <w:rPr>
          <w:rFonts w:ascii="宋体" w:hAnsi="宋体"/>
          <w:sz w:val="24"/>
        </w:rPr>
      </w:pPr>
      <w:r>
        <w:rPr>
          <w:rFonts w:hint="eastAsia" w:ascii="宋体" w:hAnsi="宋体"/>
          <w:sz w:val="24"/>
        </w:rPr>
        <w:t>13.4澄清发出的时间距谈判文件</w:t>
      </w:r>
      <w:r>
        <w:rPr>
          <w:rFonts w:ascii="宋体" w:hAnsi="宋体"/>
          <w:sz w:val="24"/>
        </w:rPr>
        <w:t>规定的</w:t>
      </w:r>
      <w:r>
        <w:rPr>
          <w:rFonts w:hint="eastAsia" w:ascii="宋体" w:hAnsi="宋体"/>
          <w:sz w:val="24"/>
        </w:rPr>
        <w:t>谈判截止时间不足</w:t>
      </w:r>
      <w:r>
        <w:rPr>
          <w:rFonts w:ascii="宋体" w:hAnsi="宋体"/>
          <w:sz w:val="24"/>
        </w:rPr>
        <w:t>3</w:t>
      </w:r>
      <w:r>
        <w:rPr>
          <w:rFonts w:hint="eastAsia" w:ascii="宋体" w:hAnsi="宋体"/>
          <w:sz w:val="24"/>
        </w:rPr>
        <w:t>个</w:t>
      </w:r>
      <w:r>
        <w:rPr>
          <w:rFonts w:ascii="宋体" w:hAnsi="宋体"/>
          <w:sz w:val="24"/>
        </w:rPr>
        <w:t>工作</w:t>
      </w:r>
      <w:r>
        <w:rPr>
          <w:rFonts w:hint="eastAsia" w:ascii="宋体" w:hAnsi="宋体"/>
          <w:sz w:val="24"/>
        </w:rPr>
        <w:t>日的，并且澄清内容可能影响谈判响应文件编制的，将相应延长谈判截止时间。</w:t>
      </w:r>
    </w:p>
    <w:p w14:paraId="44251F6D">
      <w:pPr>
        <w:spacing w:line="360" w:lineRule="auto"/>
        <w:rPr>
          <w:rFonts w:ascii="宋体" w:hAnsi="宋体"/>
          <w:b/>
          <w:sz w:val="24"/>
        </w:rPr>
      </w:pPr>
      <w:r>
        <w:rPr>
          <w:rFonts w:hint="eastAsia" w:ascii="宋体" w:hAnsi="宋体"/>
          <w:b/>
          <w:sz w:val="24"/>
        </w:rPr>
        <w:t>14.谈判文件的修改</w:t>
      </w:r>
    </w:p>
    <w:p w14:paraId="5F337B20">
      <w:pPr>
        <w:spacing w:line="360" w:lineRule="auto"/>
        <w:rPr>
          <w:rFonts w:ascii="宋体" w:hAnsi="宋体"/>
          <w:sz w:val="24"/>
        </w:rPr>
      </w:pPr>
      <w:r>
        <w:rPr>
          <w:rFonts w:hint="eastAsia" w:ascii="宋体" w:hAnsi="宋体"/>
          <w:sz w:val="24"/>
        </w:rPr>
        <w:t>14.1谈判文件发出以后，在上传谈判响应文件截止时间之前，应响应谈判供应商的疑问和采购人的要求，采购机构可以对谈判文件进行必要的修改和补充。</w:t>
      </w:r>
    </w:p>
    <w:p w14:paraId="5507755B">
      <w:pPr>
        <w:spacing w:line="360" w:lineRule="auto"/>
        <w:rPr>
          <w:rFonts w:ascii="宋体" w:hAnsi="宋体"/>
          <w:sz w:val="24"/>
        </w:rPr>
      </w:pPr>
      <w:r>
        <w:rPr>
          <w:rFonts w:hint="eastAsia" w:ascii="宋体" w:hAnsi="宋体"/>
          <w:sz w:val="24"/>
        </w:rPr>
        <w:t>14.2采购机构对谈判文件的修改和补充将形成变更文件上传至“政采云”平台，同时在发布公告媒介上</w:t>
      </w:r>
      <w:r>
        <w:rPr>
          <w:rFonts w:ascii="宋体" w:hAnsi="宋体"/>
          <w:sz w:val="24"/>
        </w:rPr>
        <w:t>发布公告，</w:t>
      </w:r>
      <w:r>
        <w:rPr>
          <w:rFonts w:hint="eastAsia" w:ascii="宋体" w:hAnsi="宋体"/>
          <w:sz w:val="24"/>
        </w:rPr>
        <w:t>以供所有报名参加谈判的响应谈判供应商下载。</w:t>
      </w:r>
    </w:p>
    <w:p w14:paraId="1A2E1222">
      <w:pPr>
        <w:tabs>
          <w:tab w:val="left" w:pos="4214"/>
        </w:tabs>
        <w:spacing w:line="360" w:lineRule="auto"/>
        <w:rPr>
          <w:rFonts w:ascii="宋体" w:hAnsi="宋体"/>
          <w:sz w:val="24"/>
        </w:rPr>
      </w:pPr>
      <w:r>
        <w:rPr>
          <w:rFonts w:hint="eastAsia" w:ascii="宋体" w:hAnsi="宋体"/>
          <w:sz w:val="24"/>
        </w:rPr>
        <w:t>14.3该变更文件作为谈判文件的组成部分，具有约束作用。</w:t>
      </w:r>
    </w:p>
    <w:p w14:paraId="747A4F4E">
      <w:pPr>
        <w:tabs>
          <w:tab w:val="left" w:pos="4214"/>
        </w:tabs>
        <w:spacing w:line="360" w:lineRule="auto"/>
        <w:rPr>
          <w:rFonts w:ascii="宋体" w:hAnsi="宋体"/>
          <w:b/>
          <w:sz w:val="24"/>
        </w:rPr>
      </w:pPr>
      <w:r>
        <w:rPr>
          <w:rFonts w:ascii="宋体" w:hAnsi="宋体"/>
          <w:sz w:val="24"/>
        </w:rPr>
        <w:t>14.4</w:t>
      </w:r>
      <w:r>
        <w:rPr>
          <w:rFonts w:hint="eastAsia" w:ascii="宋体" w:hAnsi="宋体"/>
          <w:sz w:val="24"/>
        </w:rPr>
        <w:t>变更发出的时间距谈判文件规定的谈判截止时间不足</w:t>
      </w:r>
      <w:r>
        <w:rPr>
          <w:rFonts w:ascii="宋体" w:hAnsi="宋体"/>
          <w:sz w:val="24"/>
        </w:rPr>
        <w:t>3</w:t>
      </w:r>
      <w:r>
        <w:rPr>
          <w:rFonts w:hint="eastAsia" w:ascii="宋体" w:hAnsi="宋体"/>
          <w:sz w:val="24"/>
        </w:rPr>
        <w:t>个</w:t>
      </w:r>
      <w:r>
        <w:rPr>
          <w:rFonts w:ascii="宋体" w:hAnsi="宋体"/>
          <w:sz w:val="24"/>
        </w:rPr>
        <w:t>工作</w:t>
      </w:r>
      <w:r>
        <w:rPr>
          <w:rFonts w:hint="eastAsia" w:ascii="宋体" w:hAnsi="宋体"/>
          <w:sz w:val="24"/>
        </w:rPr>
        <w:t>日的，并且变更内容可能影响谈判响应文件编制的，为使响应谈判供应商在编制谈判响应文件时有充分的时间对谈判文件的修改、补充等内容进行研究，采购机构将相应延长谈判截止时间，具体时间将在谈判文件的变更公告中予以明确。</w:t>
      </w:r>
    </w:p>
    <w:p w14:paraId="134162F1">
      <w:pPr>
        <w:spacing w:line="360" w:lineRule="auto"/>
        <w:jc w:val="center"/>
        <w:outlineLvl w:val="1"/>
        <w:rPr>
          <w:rFonts w:ascii="宋体" w:hAnsi="宋体"/>
          <w:sz w:val="24"/>
        </w:rPr>
      </w:pPr>
      <w:bookmarkStart w:id="21" w:name="_Toc103723520"/>
      <w:r>
        <w:rPr>
          <w:rFonts w:hint="eastAsia" w:ascii="宋体" w:hAnsi="宋体"/>
          <w:b/>
          <w:sz w:val="28"/>
        </w:rPr>
        <w:t>四、谈判响应文件</w:t>
      </w:r>
      <w:bookmarkEnd w:id="21"/>
    </w:p>
    <w:p w14:paraId="4E7D77EA">
      <w:pPr>
        <w:spacing w:line="360" w:lineRule="auto"/>
        <w:rPr>
          <w:rFonts w:ascii="宋体" w:hAnsi="宋体"/>
          <w:b/>
          <w:sz w:val="24"/>
        </w:rPr>
      </w:pPr>
      <w:r>
        <w:rPr>
          <w:rFonts w:hint="eastAsia" w:ascii="宋体" w:hAnsi="宋体"/>
          <w:b/>
          <w:sz w:val="24"/>
        </w:rPr>
        <w:t>15.谈判响应文件的组成</w:t>
      </w:r>
    </w:p>
    <w:p w14:paraId="3E6E26F9">
      <w:pPr>
        <w:spacing w:line="360" w:lineRule="auto"/>
        <w:ind w:firstLine="480" w:firstLineChars="200"/>
        <w:rPr>
          <w:rFonts w:ascii="宋体" w:hAnsi="宋体"/>
          <w:sz w:val="24"/>
        </w:rPr>
      </w:pPr>
      <w:r>
        <w:rPr>
          <w:rFonts w:hint="eastAsia" w:ascii="宋体" w:hAnsi="宋体"/>
          <w:sz w:val="24"/>
        </w:rPr>
        <w:t>谈判响应文件分为资格文件部分、价格文件部分、技术文件部分、商务文件部分。且按下列顺序：</w:t>
      </w:r>
    </w:p>
    <w:p w14:paraId="22D9E591">
      <w:pPr>
        <w:spacing w:line="360" w:lineRule="auto"/>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.1资格文件部分</w:t>
      </w:r>
    </w:p>
    <w:p w14:paraId="1C48AD9D">
      <w:pPr>
        <w:numPr>
          <w:ilvl w:val="0"/>
          <w:numId w:val="5"/>
        </w:numPr>
        <w:spacing w:line="360" w:lineRule="auto"/>
        <w:rPr>
          <w:rFonts w:ascii="宋体" w:hAnsi="宋体"/>
          <w:sz w:val="24"/>
        </w:rPr>
      </w:pPr>
      <w:r>
        <w:rPr>
          <w:rFonts w:hint="eastAsia" w:ascii="宋体" w:hAnsi="宋体"/>
          <w:sz w:val="24"/>
        </w:rPr>
        <w:t>响应谈判</w:t>
      </w:r>
      <w:r>
        <w:rPr>
          <w:rFonts w:ascii="宋体" w:hAnsi="宋体"/>
          <w:sz w:val="24"/>
        </w:rPr>
        <w:t>供应商</w:t>
      </w:r>
      <w:r>
        <w:rPr>
          <w:rFonts w:hint="eastAsia" w:ascii="宋体" w:hAnsi="宋体"/>
          <w:sz w:val="24"/>
        </w:rPr>
        <w:t>营业执照；</w:t>
      </w:r>
    </w:p>
    <w:p w14:paraId="2B3933E2">
      <w:pPr>
        <w:spacing w:line="360" w:lineRule="auto"/>
        <w:rPr>
          <w:rFonts w:ascii="宋体" w:hAnsi="宋体"/>
          <w:sz w:val="24"/>
        </w:rPr>
      </w:pPr>
      <w:r>
        <w:rPr>
          <w:rFonts w:hint="eastAsia" w:ascii="宋体" w:hAnsi="宋体"/>
          <w:sz w:val="24"/>
        </w:rPr>
        <w:t>(2)法定代表人资格证明书或法定代表人授权书</w:t>
      </w:r>
      <w:bookmarkStart w:id="22" w:name="_Hlk26283132"/>
      <w:r>
        <w:rPr>
          <w:rFonts w:hint="eastAsia" w:ascii="宋体" w:hAnsi="宋体"/>
          <w:sz w:val="24"/>
        </w:rPr>
        <w:t>，被授权委托人基本养老保险参保证明</w:t>
      </w:r>
      <w:bookmarkEnd w:id="22"/>
      <w:r>
        <w:rPr>
          <w:rFonts w:hint="eastAsia" w:ascii="宋体" w:hAnsi="宋体"/>
          <w:sz w:val="24"/>
        </w:rPr>
        <w:t>；</w:t>
      </w:r>
    </w:p>
    <w:p w14:paraId="4C882264">
      <w:pPr>
        <w:spacing w:line="360" w:lineRule="auto"/>
        <w:rPr>
          <w:rFonts w:ascii="宋体" w:hAnsi="宋体"/>
          <w:sz w:val="24"/>
        </w:rPr>
      </w:pPr>
      <w:r>
        <w:rPr>
          <w:rFonts w:hint="eastAsia" w:ascii="宋体" w:hAnsi="宋体"/>
          <w:sz w:val="24"/>
        </w:rPr>
        <w:t>(3)响应谈判</w:t>
      </w:r>
      <w:r>
        <w:rPr>
          <w:rFonts w:ascii="宋体" w:hAnsi="宋体"/>
          <w:sz w:val="24"/>
        </w:rPr>
        <w:t>供应商</w:t>
      </w:r>
      <w:r>
        <w:rPr>
          <w:rFonts w:hint="eastAsia" w:ascii="宋体" w:hAnsi="宋体"/>
          <w:sz w:val="24"/>
          <w:szCs w:val="22"/>
        </w:rPr>
        <w:t>资格</w:t>
      </w:r>
      <w:r>
        <w:rPr>
          <w:rFonts w:ascii="宋体" w:hAnsi="宋体"/>
          <w:sz w:val="24"/>
          <w:szCs w:val="22"/>
        </w:rPr>
        <w:t>条件承诺函</w:t>
      </w:r>
      <w:r>
        <w:rPr>
          <w:rFonts w:hint="eastAsia" w:ascii="宋体" w:hAnsi="宋体"/>
          <w:sz w:val="24"/>
          <w:szCs w:val="22"/>
        </w:rPr>
        <w:t>；</w:t>
      </w:r>
    </w:p>
    <w:p w14:paraId="1D9C4680">
      <w:pPr>
        <w:spacing w:line="360" w:lineRule="auto"/>
        <w:rPr>
          <w:rFonts w:ascii="宋体" w:hAnsi="宋体"/>
          <w:sz w:val="24"/>
        </w:rPr>
      </w:pPr>
      <w:r>
        <w:rPr>
          <w:rFonts w:hint="eastAsia" w:ascii="宋体" w:hAnsi="宋体"/>
          <w:sz w:val="24"/>
        </w:rPr>
        <w:t>(4)“信用中国”网站、中国政府采购网没有失信行为的证明材料；</w:t>
      </w:r>
    </w:p>
    <w:p w14:paraId="0F494CC2">
      <w:pPr>
        <w:spacing w:line="360" w:lineRule="auto"/>
        <w:rPr>
          <w:rFonts w:ascii="宋体" w:hAnsi="宋体"/>
          <w:sz w:val="24"/>
        </w:rPr>
      </w:pPr>
      <w:r>
        <w:rPr>
          <w:rFonts w:hint="eastAsia" w:ascii="宋体" w:hAnsi="宋体"/>
          <w:sz w:val="24"/>
        </w:rPr>
        <w:t>(5)响应谈判供应商2023年至今在经营活动中没有重大违法记录的书面声明，同时须附中国裁判文书网无行贿犯罪行为的证明材料；</w:t>
      </w:r>
    </w:p>
    <w:p w14:paraId="3C4E9D90">
      <w:pPr>
        <w:spacing w:line="360" w:lineRule="auto"/>
        <w:rPr>
          <w:rFonts w:ascii="宋体" w:hAnsi="宋体"/>
          <w:sz w:val="24"/>
        </w:rPr>
      </w:pPr>
      <w:r>
        <w:rPr>
          <w:rFonts w:hint="eastAsia" w:ascii="宋体" w:hAnsi="宋体"/>
          <w:sz w:val="24"/>
        </w:rPr>
        <w:t>(6)中小企业声明函。</w:t>
      </w:r>
    </w:p>
    <w:p w14:paraId="0A12610F">
      <w:pPr>
        <w:spacing w:line="360" w:lineRule="auto"/>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.2价格文件部分</w:t>
      </w:r>
    </w:p>
    <w:p w14:paraId="7E2220DC">
      <w:pPr>
        <w:spacing w:line="360" w:lineRule="auto"/>
        <w:rPr>
          <w:rFonts w:ascii="宋体" w:hAnsi="宋体"/>
          <w:sz w:val="24"/>
        </w:rPr>
      </w:pPr>
      <w:r>
        <w:rPr>
          <w:rFonts w:hint="eastAsia" w:ascii="宋体" w:hAnsi="宋体"/>
          <w:sz w:val="24"/>
        </w:rPr>
        <w:t>(1)谈判</w:t>
      </w:r>
      <w:r>
        <w:rPr>
          <w:rFonts w:ascii="宋体" w:hAnsi="宋体"/>
          <w:sz w:val="24"/>
        </w:rPr>
        <w:t>响应</w:t>
      </w:r>
      <w:r>
        <w:rPr>
          <w:rFonts w:hint="eastAsia" w:ascii="宋体" w:hAnsi="宋体"/>
          <w:sz w:val="24"/>
        </w:rPr>
        <w:t>函；</w:t>
      </w:r>
    </w:p>
    <w:p w14:paraId="7E53A2C3">
      <w:pPr>
        <w:spacing w:line="360" w:lineRule="auto"/>
        <w:rPr>
          <w:rFonts w:hint="eastAsia" w:ascii="宋体" w:hAnsi="宋体"/>
          <w:sz w:val="24"/>
        </w:rPr>
      </w:pPr>
      <w:r>
        <w:rPr>
          <w:rFonts w:hint="eastAsia" w:ascii="宋体" w:hAnsi="宋体"/>
          <w:sz w:val="24"/>
        </w:rPr>
        <w:t>(</w:t>
      </w:r>
      <w:r>
        <w:rPr>
          <w:rFonts w:ascii="宋体" w:hAnsi="宋体"/>
          <w:sz w:val="24"/>
        </w:rPr>
        <w:t>2</w:t>
      </w:r>
      <w:r>
        <w:rPr>
          <w:rFonts w:hint="eastAsia" w:ascii="宋体" w:hAnsi="宋体"/>
          <w:sz w:val="24"/>
        </w:rPr>
        <w:t>)谈判响应</w:t>
      </w:r>
      <w:r>
        <w:rPr>
          <w:rFonts w:ascii="宋体" w:hAnsi="宋体"/>
          <w:sz w:val="24"/>
        </w:rPr>
        <w:t>首次报价</w:t>
      </w:r>
      <w:r>
        <w:rPr>
          <w:rFonts w:hint="eastAsia" w:ascii="宋体" w:hAnsi="宋体"/>
          <w:sz w:val="24"/>
        </w:rPr>
        <w:t>表；</w:t>
      </w:r>
    </w:p>
    <w:p w14:paraId="5F9FDC9B">
      <w:pPr>
        <w:spacing w:line="360" w:lineRule="auto"/>
        <w:rPr>
          <w:rFonts w:hint="eastAsia" w:ascii="宋体" w:hAnsi="宋体" w:eastAsia="宋体"/>
          <w:sz w:val="24"/>
          <w:lang w:eastAsia="zh-CN"/>
        </w:rPr>
      </w:pPr>
      <w:r>
        <w:rPr>
          <w:rFonts w:hint="eastAsia" w:ascii="宋体" w:hAnsi="宋体"/>
          <w:sz w:val="24"/>
        </w:rPr>
        <w:t>(3)响应报价</w:t>
      </w:r>
      <w:r>
        <w:rPr>
          <w:rFonts w:hint="eastAsia" w:ascii="宋体" w:hAnsi="宋体"/>
          <w:sz w:val="24"/>
          <w:lang w:eastAsia="zh-CN"/>
        </w:rPr>
        <w:t>汇总表；</w:t>
      </w:r>
    </w:p>
    <w:p w14:paraId="69980301">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)响应首次报价明细表；</w:t>
      </w:r>
    </w:p>
    <w:p w14:paraId="07B83A6C">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)谈判响应最终</w:t>
      </w:r>
      <w:r>
        <w:rPr>
          <w:rFonts w:ascii="宋体" w:hAnsi="宋体"/>
          <w:sz w:val="24"/>
        </w:rPr>
        <w:t>报价表</w:t>
      </w:r>
      <w:r>
        <w:rPr>
          <w:rFonts w:hint="eastAsia" w:ascii="宋体" w:hAnsi="宋体"/>
          <w:sz w:val="24"/>
        </w:rPr>
        <w:t>；</w:t>
      </w:r>
    </w:p>
    <w:p w14:paraId="41A5FAC8">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6</w:t>
      </w:r>
      <w:r>
        <w:rPr>
          <w:rFonts w:hint="eastAsia" w:ascii="宋体" w:hAnsi="宋体"/>
          <w:sz w:val="24"/>
        </w:rPr>
        <w:t>)最终响应报价明细表；</w:t>
      </w:r>
    </w:p>
    <w:p w14:paraId="17929151">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)残疾人福利性单位声明函；</w:t>
      </w:r>
    </w:p>
    <w:p w14:paraId="6CDD8EEA">
      <w:pPr>
        <w:spacing w:line="360" w:lineRule="auto"/>
        <w:rPr>
          <w:sz w:val="24"/>
        </w:rPr>
      </w:pPr>
      <w:r>
        <w:rPr>
          <w:rFonts w:hint="eastAsia" w:ascii="宋体" w:hAnsi="宋体"/>
          <w:sz w:val="24"/>
        </w:rPr>
        <w:t>(</w:t>
      </w:r>
      <w:r>
        <w:rPr>
          <w:rFonts w:hint="eastAsia" w:ascii="宋体" w:hAnsi="宋体"/>
          <w:sz w:val="24"/>
          <w:lang w:val="en-US" w:eastAsia="zh-CN"/>
        </w:rPr>
        <w:t>8</w:t>
      </w:r>
      <w:r>
        <w:rPr>
          <w:rFonts w:hint="eastAsia" w:ascii="宋体" w:hAnsi="宋体"/>
          <w:sz w:val="24"/>
        </w:rPr>
        <w:t>)</w:t>
      </w:r>
      <w:r>
        <w:rPr>
          <w:rFonts w:hint="eastAsia"/>
          <w:sz w:val="24"/>
        </w:rPr>
        <w:t>监狱企业声明函（监狱企业提交）</w:t>
      </w:r>
      <w:r>
        <w:rPr>
          <w:rFonts w:hint="eastAsia" w:ascii="宋体" w:hAnsi="宋体"/>
          <w:sz w:val="24"/>
        </w:rPr>
        <w:t>；</w:t>
      </w:r>
    </w:p>
    <w:p w14:paraId="0AC09395">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9</w:t>
      </w:r>
      <w:r>
        <w:rPr>
          <w:rFonts w:hint="eastAsia" w:ascii="宋体" w:hAnsi="宋体"/>
          <w:sz w:val="24"/>
        </w:rPr>
        <w:t>)响应谈判</w:t>
      </w:r>
      <w:r>
        <w:rPr>
          <w:rFonts w:ascii="宋体" w:hAnsi="宋体"/>
          <w:sz w:val="24"/>
        </w:rPr>
        <w:t>供应商</w:t>
      </w:r>
      <w:r>
        <w:rPr>
          <w:rFonts w:hint="eastAsia" w:ascii="宋体" w:hAnsi="宋体"/>
          <w:sz w:val="24"/>
        </w:rPr>
        <w:t>提交的其他经济文件。</w:t>
      </w:r>
    </w:p>
    <w:p w14:paraId="18EA7640">
      <w:pPr>
        <w:spacing w:line="360" w:lineRule="auto"/>
        <w:rPr>
          <w:rFonts w:ascii="宋体" w:hAnsi="宋体"/>
          <w:sz w:val="24"/>
        </w:rPr>
      </w:pPr>
      <w:bookmarkStart w:id="23" w:name="_Hlk218858526"/>
      <w:r>
        <w:rPr>
          <w:rFonts w:hint="eastAsia" w:ascii="宋体" w:hAnsi="宋体"/>
          <w:sz w:val="24"/>
        </w:rPr>
        <w:t>15.2技术文件部分</w:t>
      </w:r>
    </w:p>
    <w:p w14:paraId="75C734C9">
      <w:pPr>
        <w:spacing w:line="360" w:lineRule="auto"/>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)供货</w:t>
      </w:r>
      <w:r>
        <w:rPr>
          <w:rFonts w:ascii="宋体" w:hAnsi="宋体"/>
          <w:sz w:val="24"/>
        </w:rPr>
        <w:t>方案</w:t>
      </w:r>
      <w:r>
        <w:rPr>
          <w:rFonts w:hint="eastAsia" w:ascii="宋体" w:hAnsi="宋体"/>
          <w:sz w:val="24"/>
        </w:rPr>
        <w:t>；</w:t>
      </w:r>
    </w:p>
    <w:p w14:paraId="670020B8">
      <w:pPr>
        <w:spacing w:line="360" w:lineRule="auto"/>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)响应谈判供应商</w:t>
      </w:r>
      <w:r>
        <w:rPr>
          <w:rFonts w:ascii="宋体" w:hAnsi="宋体"/>
          <w:sz w:val="24"/>
        </w:rPr>
        <w:t>提交</w:t>
      </w:r>
      <w:r>
        <w:rPr>
          <w:rFonts w:hint="eastAsia" w:ascii="宋体" w:hAnsi="宋体"/>
          <w:sz w:val="24"/>
        </w:rPr>
        <w:t>的</w:t>
      </w:r>
      <w:r>
        <w:rPr>
          <w:rFonts w:ascii="宋体" w:hAnsi="宋体"/>
          <w:sz w:val="24"/>
        </w:rPr>
        <w:t>其他技术文件</w:t>
      </w:r>
      <w:r>
        <w:rPr>
          <w:rFonts w:hint="eastAsia" w:ascii="宋体" w:hAnsi="宋体"/>
          <w:sz w:val="24"/>
        </w:rPr>
        <w:t>。</w:t>
      </w:r>
      <w:r>
        <w:rPr>
          <w:rFonts w:ascii="宋体" w:hAnsi="宋体"/>
          <w:sz w:val="24"/>
        </w:rPr>
        <w:t xml:space="preserve"> </w:t>
      </w:r>
    </w:p>
    <w:p w14:paraId="0AF40F3C">
      <w:pPr>
        <w:spacing w:line="360" w:lineRule="auto"/>
        <w:rPr>
          <w:rFonts w:ascii="宋体" w:hAnsi="宋体"/>
          <w:sz w:val="24"/>
        </w:rPr>
      </w:pPr>
      <w:r>
        <w:rPr>
          <w:rFonts w:hint="eastAsia" w:ascii="宋体" w:hAnsi="宋体"/>
          <w:sz w:val="24"/>
        </w:rPr>
        <w:t>15.3商务文件部分</w:t>
      </w:r>
    </w:p>
    <w:p w14:paraId="4FF922D9">
      <w:pPr>
        <w:spacing w:line="360" w:lineRule="auto"/>
        <w:rPr>
          <w:rFonts w:ascii="宋体" w:hAnsi="宋体"/>
          <w:sz w:val="24"/>
        </w:rPr>
      </w:pPr>
      <w:r>
        <w:rPr>
          <w:rFonts w:hint="eastAsia" w:ascii="宋体" w:hAnsi="宋体"/>
          <w:sz w:val="24"/>
        </w:rPr>
        <w:t>(1)响应谈判供应商简介；</w:t>
      </w:r>
    </w:p>
    <w:p w14:paraId="23BAC590">
      <w:pPr>
        <w:spacing w:line="360" w:lineRule="auto"/>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)服务承诺；</w:t>
      </w:r>
    </w:p>
    <w:p w14:paraId="77A88649">
      <w:pPr>
        <w:spacing w:line="360" w:lineRule="auto"/>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)节能产品清单说明表；</w:t>
      </w:r>
    </w:p>
    <w:p w14:paraId="090DF624">
      <w:pPr>
        <w:spacing w:line="360" w:lineRule="auto"/>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)环境标志产品情况说明；</w:t>
      </w:r>
    </w:p>
    <w:p w14:paraId="69E144A5">
      <w:pPr>
        <w:spacing w:line="360" w:lineRule="auto"/>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)技术偏离表；</w:t>
      </w:r>
    </w:p>
    <w:p w14:paraId="4F39D9E9">
      <w:pPr>
        <w:spacing w:line="360" w:lineRule="auto"/>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)响应谈判供应商提交的其它文件。</w:t>
      </w:r>
    </w:p>
    <w:bookmarkEnd w:id="23"/>
    <w:p w14:paraId="7969AD1D">
      <w:pPr>
        <w:spacing w:line="360" w:lineRule="auto"/>
        <w:rPr>
          <w:rFonts w:ascii="宋体" w:hAnsi="宋体"/>
          <w:b/>
          <w:sz w:val="24"/>
        </w:rPr>
      </w:pPr>
      <w:r>
        <w:rPr>
          <w:rFonts w:hint="eastAsia" w:ascii="宋体" w:hAnsi="宋体"/>
          <w:b/>
          <w:sz w:val="24"/>
        </w:rPr>
        <w:t>16.谈判</w:t>
      </w:r>
      <w:r>
        <w:rPr>
          <w:rFonts w:ascii="宋体" w:hAnsi="宋体"/>
          <w:b/>
          <w:sz w:val="24"/>
        </w:rPr>
        <w:t>响应</w:t>
      </w:r>
      <w:r>
        <w:rPr>
          <w:rFonts w:hint="eastAsia" w:ascii="宋体" w:hAnsi="宋体"/>
          <w:b/>
          <w:sz w:val="24"/>
        </w:rPr>
        <w:t>报价</w:t>
      </w:r>
    </w:p>
    <w:p w14:paraId="662319D5">
      <w:pPr>
        <w:spacing w:line="360" w:lineRule="auto"/>
        <w:rPr>
          <w:rFonts w:ascii="宋体" w:hAnsi="宋体"/>
          <w:sz w:val="24"/>
        </w:rPr>
      </w:pPr>
      <w:r>
        <w:rPr>
          <w:rFonts w:hint="eastAsia" w:ascii="宋体" w:hAnsi="宋体"/>
          <w:sz w:val="24"/>
        </w:rPr>
        <w:t>1</w:t>
      </w:r>
      <w:r>
        <w:rPr>
          <w:rFonts w:ascii="宋体" w:hAnsi="宋体"/>
          <w:sz w:val="24"/>
        </w:rPr>
        <w:t>6</w:t>
      </w:r>
      <w:r>
        <w:rPr>
          <w:rFonts w:hint="eastAsia" w:ascii="宋体" w:hAnsi="宋体"/>
          <w:sz w:val="24"/>
        </w:rPr>
        <w:t>.1本项目谈判报价采用本须知前附表中所规定的方式，所有谈判响应报价均以人民币元为计算单位。谈判响应报价应当是供应商履行本项目合同的最终价格。响应谈判供应商</w:t>
      </w:r>
      <w:r>
        <w:rPr>
          <w:rFonts w:ascii="宋体" w:hAnsi="宋体"/>
          <w:sz w:val="24"/>
        </w:rPr>
        <w:t>的</w:t>
      </w:r>
      <w:r>
        <w:rPr>
          <w:rFonts w:hint="eastAsia" w:ascii="宋体" w:hAnsi="宋体"/>
          <w:sz w:val="24"/>
        </w:rPr>
        <w:t>报</w:t>
      </w:r>
      <w:r>
        <w:rPr>
          <w:rFonts w:ascii="宋体" w:hAnsi="宋体"/>
          <w:sz w:val="24"/>
        </w:rPr>
        <w:t>价应</w:t>
      </w:r>
      <w:r>
        <w:rPr>
          <w:rFonts w:hint="eastAsia" w:ascii="宋体" w:hAnsi="宋体"/>
          <w:sz w:val="24"/>
        </w:rPr>
        <w:t>包括货款、标准附件、备品备件、专用工具、包装、运输、装卸、保险、税金、安装到位、调试、培训、保修等一切税金和费用。</w:t>
      </w:r>
    </w:p>
    <w:p w14:paraId="6BA2FA96">
      <w:pPr>
        <w:spacing w:line="360" w:lineRule="auto"/>
        <w:rPr>
          <w:rFonts w:ascii="宋体" w:hAnsi="宋体"/>
          <w:sz w:val="24"/>
        </w:rPr>
      </w:pPr>
      <w:r>
        <w:rPr>
          <w:rFonts w:hint="eastAsia" w:ascii="宋体" w:hAnsi="宋体"/>
          <w:sz w:val="24"/>
        </w:rPr>
        <w:t>16.2响应谈判供应商所报的价格</w:t>
      </w:r>
      <w:r>
        <w:rPr>
          <w:rFonts w:ascii="宋体" w:hAnsi="宋体"/>
          <w:sz w:val="24"/>
        </w:rPr>
        <w:t>(</w:t>
      </w:r>
      <w:r>
        <w:rPr>
          <w:rFonts w:hint="eastAsia" w:ascii="宋体" w:hAnsi="宋体"/>
          <w:sz w:val="24"/>
        </w:rPr>
        <w:t>包括成本、利润、税金等因素</w:t>
      </w:r>
      <w:r>
        <w:rPr>
          <w:rFonts w:ascii="宋体" w:hAnsi="宋体"/>
          <w:sz w:val="24"/>
        </w:rPr>
        <w:t>)</w:t>
      </w:r>
      <w:r>
        <w:rPr>
          <w:rFonts w:hint="eastAsia" w:ascii="宋体" w:hAnsi="宋体"/>
          <w:sz w:val="24"/>
        </w:rPr>
        <w:t>在合同实施期间保持不变，它不应因劳务、材料、机械等的价格变动而做任何调整。在合同有效期和其必要的延长期内也不因通货膨胀、利率升降、税收变化等因素而作任何调整。</w:t>
      </w:r>
    </w:p>
    <w:p w14:paraId="66743025">
      <w:pPr>
        <w:spacing w:line="360" w:lineRule="auto"/>
        <w:rPr>
          <w:rFonts w:ascii="宋体" w:hAnsi="宋体"/>
          <w:sz w:val="24"/>
        </w:rPr>
      </w:pPr>
      <w:r>
        <w:rPr>
          <w:rFonts w:hint="eastAsia" w:ascii="宋体" w:hAnsi="宋体"/>
          <w:sz w:val="24"/>
        </w:rPr>
        <w:t>16.3</w:t>
      </w:r>
      <w:r>
        <w:rPr>
          <w:rFonts w:hint="eastAsia" w:ascii="宋体" w:hAnsi="宋体"/>
          <w:bCs/>
          <w:sz w:val="24"/>
        </w:rPr>
        <w:t>响应谈判供应商应按第二章货物需求的要求填写货物需求细目的单价和总价。响应谈判供应商没有填入单价或价格的细目在供货时采购人将不予支付，并认为此细目的费用已包括在货物需求明细的其他单价和价格之中。响应谈判供应商应按给定的货物需求明细列项，货物数量错误、计量单位错误、落项或多报项目者将被视为不符合性响应，其谈判响应将被拒绝。</w:t>
      </w:r>
    </w:p>
    <w:p w14:paraId="1267EBC3">
      <w:pPr>
        <w:spacing w:line="360" w:lineRule="auto"/>
        <w:rPr>
          <w:rFonts w:ascii="宋体" w:hAnsi="宋体"/>
          <w:sz w:val="24"/>
        </w:rPr>
      </w:pPr>
      <w:r>
        <w:rPr>
          <w:rFonts w:hint="eastAsia" w:ascii="宋体" w:hAnsi="宋体"/>
          <w:sz w:val="24"/>
        </w:rPr>
        <w:t>16.4各响应谈判供应商不得相互串联哄抬标价或恶意压价，出现此种情况者，将被作为废标处理。</w:t>
      </w:r>
    </w:p>
    <w:p w14:paraId="37CC5608">
      <w:pPr>
        <w:spacing w:line="360" w:lineRule="auto"/>
        <w:rPr>
          <w:rFonts w:ascii="宋体" w:hAnsi="宋体"/>
          <w:b/>
          <w:sz w:val="24"/>
        </w:rPr>
      </w:pPr>
      <w:r>
        <w:rPr>
          <w:rFonts w:ascii="宋体" w:hAnsi="宋体"/>
          <w:b/>
          <w:sz w:val="24"/>
        </w:rPr>
        <w:t>17.</w:t>
      </w:r>
      <w:r>
        <w:rPr>
          <w:rFonts w:hint="eastAsia" w:ascii="宋体" w:hAnsi="宋体"/>
          <w:b/>
          <w:sz w:val="24"/>
        </w:rPr>
        <w:t>谈判响应</w:t>
      </w:r>
      <w:r>
        <w:rPr>
          <w:rFonts w:ascii="宋体" w:hAnsi="宋体"/>
          <w:b/>
          <w:sz w:val="24"/>
        </w:rPr>
        <w:t>报价表</w:t>
      </w:r>
    </w:p>
    <w:p w14:paraId="350D419B">
      <w:pPr>
        <w:spacing w:line="360" w:lineRule="auto"/>
        <w:rPr>
          <w:rFonts w:ascii="宋体" w:hAnsi="宋体"/>
          <w:sz w:val="24"/>
        </w:rPr>
      </w:pPr>
      <w:r>
        <w:rPr>
          <w:rFonts w:ascii="宋体" w:hAnsi="宋体"/>
          <w:sz w:val="24"/>
        </w:rPr>
        <w:t>17.1</w:t>
      </w:r>
      <w:r>
        <w:rPr>
          <w:rFonts w:hint="eastAsia" w:ascii="宋体" w:hAnsi="宋体"/>
          <w:sz w:val="24"/>
        </w:rPr>
        <w:t>响应谈判供应商</w:t>
      </w:r>
      <w:r>
        <w:rPr>
          <w:rFonts w:ascii="宋体" w:hAnsi="宋体"/>
          <w:sz w:val="24"/>
        </w:rPr>
        <w:t>须按照谈判文件</w:t>
      </w:r>
      <w:r>
        <w:rPr>
          <w:rFonts w:hint="eastAsia" w:ascii="宋体" w:hAnsi="宋体"/>
          <w:sz w:val="24"/>
        </w:rPr>
        <w:t>的</w:t>
      </w:r>
      <w:r>
        <w:rPr>
          <w:rFonts w:ascii="宋体" w:hAnsi="宋体"/>
          <w:sz w:val="24"/>
        </w:rPr>
        <w:t>要求填写，且在“</w:t>
      </w:r>
      <w:r>
        <w:rPr>
          <w:rFonts w:hint="eastAsia" w:ascii="宋体" w:hAnsi="宋体"/>
          <w:sz w:val="24"/>
        </w:rPr>
        <w:t>政采云</w:t>
      </w:r>
      <w:r>
        <w:rPr>
          <w:rFonts w:ascii="宋体" w:hAnsi="宋体"/>
          <w:sz w:val="24"/>
        </w:rPr>
        <w:t>”</w:t>
      </w:r>
      <w:r>
        <w:rPr>
          <w:rFonts w:hint="eastAsia" w:ascii="宋体" w:hAnsi="宋体"/>
          <w:sz w:val="24"/>
        </w:rPr>
        <w:t>平台</w:t>
      </w:r>
      <w:r>
        <w:rPr>
          <w:rFonts w:ascii="宋体" w:hAnsi="宋体"/>
          <w:sz w:val="24"/>
        </w:rPr>
        <w:t>提交</w:t>
      </w:r>
      <w:r>
        <w:rPr>
          <w:rFonts w:hint="eastAsia" w:ascii="宋体" w:hAnsi="宋体"/>
          <w:sz w:val="24"/>
        </w:rPr>
        <w:t>。</w:t>
      </w:r>
    </w:p>
    <w:p w14:paraId="589AA2D6">
      <w:pPr>
        <w:spacing w:line="360" w:lineRule="auto"/>
        <w:rPr>
          <w:rFonts w:ascii="宋体" w:hAnsi="宋体"/>
          <w:sz w:val="24"/>
        </w:rPr>
      </w:pPr>
      <w:r>
        <w:rPr>
          <w:rFonts w:ascii="宋体" w:hAnsi="宋体"/>
          <w:sz w:val="24"/>
        </w:rPr>
        <w:t>17.</w:t>
      </w:r>
      <w:r>
        <w:rPr>
          <w:rFonts w:hint="eastAsia" w:ascii="宋体" w:hAnsi="宋体"/>
          <w:sz w:val="24"/>
        </w:rPr>
        <w:t>2如谈判响应报价表内容与谈判响应文件中明细表内容不一致，以谈判响应最终报价表为准。</w:t>
      </w:r>
    </w:p>
    <w:p w14:paraId="3F65C92E">
      <w:pPr>
        <w:spacing w:line="360" w:lineRule="auto"/>
        <w:rPr>
          <w:rFonts w:ascii="宋体" w:hAnsi="宋体"/>
          <w:b/>
          <w:sz w:val="24"/>
        </w:rPr>
      </w:pPr>
      <w:r>
        <w:rPr>
          <w:rFonts w:ascii="宋体" w:hAnsi="宋体"/>
          <w:b/>
          <w:sz w:val="24"/>
        </w:rPr>
        <w:t>17.3</w:t>
      </w:r>
      <w:r>
        <w:rPr>
          <w:rFonts w:hint="eastAsia" w:ascii="宋体" w:hAnsi="宋体"/>
          <w:b/>
          <w:sz w:val="24"/>
        </w:rPr>
        <w:t>谈判</w:t>
      </w:r>
      <w:r>
        <w:rPr>
          <w:rFonts w:ascii="宋体" w:hAnsi="宋体"/>
          <w:b/>
          <w:sz w:val="24"/>
        </w:rPr>
        <w:t>响应报价</w:t>
      </w:r>
      <w:r>
        <w:rPr>
          <w:rFonts w:hint="eastAsia" w:ascii="宋体" w:hAnsi="宋体"/>
          <w:b/>
          <w:sz w:val="24"/>
        </w:rPr>
        <w:t>分为</w:t>
      </w:r>
      <w:r>
        <w:rPr>
          <w:rFonts w:ascii="宋体" w:hAnsi="宋体"/>
          <w:b/>
          <w:sz w:val="24"/>
        </w:rPr>
        <w:t>谈判响应首次报价表、谈判响应</w:t>
      </w:r>
      <w:r>
        <w:rPr>
          <w:rFonts w:hint="eastAsia" w:ascii="宋体" w:hAnsi="宋体"/>
          <w:b/>
          <w:sz w:val="24"/>
        </w:rPr>
        <w:t>最终</w:t>
      </w:r>
      <w:r>
        <w:rPr>
          <w:rFonts w:ascii="宋体" w:hAnsi="宋体"/>
          <w:b/>
          <w:sz w:val="24"/>
        </w:rPr>
        <w:t>报价表。</w:t>
      </w:r>
    </w:p>
    <w:p w14:paraId="3EE3B098">
      <w:pPr>
        <w:spacing w:line="360" w:lineRule="auto"/>
        <w:rPr>
          <w:rFonts w:ascii="宋体" w:hAnsi="宋体"/>
          <w:b/>
          <w:sz w:val="24"/>
        </w:rPr>
      </w:pPr>
      <w:r>
        <w:rPr>
          <w:rFonts w:hint="eastAsia" w:ascii="宋体" w:hAnsi="宋体"/>
          <w:b/>
          <w:sz w:val="24"/>
        </w:rPr>
        <w:t>谈判</w:t>
      </w:r>
      <w:r>
        <w:rPr>
          <w:rFonts w:ascii="宋体" w:hAnsi="宋体"/>
          <w:b/>
          <w:sz w:val="24"/>
        </w:rPr>
        <w:t>响应首次</w:t>
      </w:r>
      <w:r>
        <w:rPr>
          <w:rFonts w:hint="eastAsia" w:ascii="宋体" w:hAnsi="宋体"/>
          <w:b/>
          <w:sz w:val="24"/>
        </w:rPr>
        <w:t>报价后</w:t>
      </w:r>
      <w:r>
        <w:rPr>
          <w:rFonts w:ascii="宋体" w:hAnsi="宋体"/>
          <w:b/>
          <w:sz w:val="24"/>
        </w:rPr>
        <w:t>谈判小组</w:t>
      </w:r>
      <w:r>
        <w:rPr>
          <w:rFonts w:hint="eastAsia" w:ascii="宋体" w:hAnsi="宋体"/>
          <w:b/>
          <w:sz w:val="24"/>
        </w:rPr>
        <w:t>将在资格</w:t>
      </w:r>
      <w:r>
        <w:rPr>
          <w:rFonts w:ascii="宋体" w:hAnsi="宋体"/>
          <w:b/>
          <w:sz w:val="24"/>
        </w:rPr>
        <w:t>审</w:t>
      </w:r>
      <w:r>
        <w:rPr>
          <w:rFonts w:hint="eastAsia" w:ascii="宋体" w:hAnsi="宋体"/>
          <w:b/>
          <w:sz w:val="24"/>
        </w:rPr>
        <w:t>评审</w:t>
      </w:r>
      <w:r>
        <w:rPr>
          <w:rFonts w:ascii="宋体" w:hAnsi="宋体"/>
          <w:b/>
          <w:sz w:val="24"/>
        </w:rPr>
        <w:t>、符合性</w:t>
      </w:r>
      <w:r>
        <w:rPr>
          <w:rFonts w:hint="eastAsia" w:ascii="宋体" w:hAnsi="宋体"/>
          <w:b/>
          <w:sz w:val="24"/>
        </w:rPr>
        <w:t>评审通过</w:t>
      </w:r>
      <w:r>
        <w:rPr>
          <w:rFonts w:ascii="宋体" w:hAnsi="宋体"/>
          <w:b/>
          <w:sz w:val="24"/>
        </w:rPr>
        <w:t>后发起谈判</w:t>
      </w:r>
      <w:r>
        <w:rPr>
          <w:rFonts w:hint="eastAsia" w:ascii="宋体" w:hAnsi="宋体"/>
          <w:b/>
          <w:sz w:val="24"/>
        </w:rPr>
        <w:t>响应</w:t>
      </w:r>
      <w:r>
        <w:rPr>
          <w:rFonts w:ascii="宋体" w:hAnsi="宋体"/>
          <w:b/>
          <w:sz w:val="24"/>
        </w:rPr>
        <w:t>最终报价，</w:t>
      </w:r>
      <w:r>
        <w:rPr>
          <w:rFonts w:hint="eastAsia" w:ascii="宋体" w:hAnsi="宋体"/>
          <w:b/>
          <w:sz w:val="24"/>
        </w:rPr>
        <w:t>响应</w:t>
      </w:r>
      <w:r>
        <w:rPr>
          <w:rFonts w:ascii="宋体" w:hAnsi="宋体"/>
          <w:b/>
          <w:sz w:val="24"/>
        </w:rPr>
        <w:t>谈判供应商</w:t>
      </w:r>
      <w:r>
        <w:rPr>
          <w:rFonts w:hint="eastAsia" w:ascii="宋体" w:hAnsi="宋体"/>
          <w:b/>
          <w:sz w:val="24"/>
        </w:rPr>
        <w:t>代表须</w:t>
      </w:r>
      <w:r>
        <w:rPr>
          <w:rFonts w:ascii="宋体" w:hAnsi="宋体"/>
          <w:b/>
          <w:sz w:val="24"/>
        </w:rPr>
        <w:t>在谈判小组发起的报价</w:t>
      </w:r>
      <w:r>
        <w:rPr>
          <w:rFonts w:hint="eastAsia" w:ascii="宋体" w:hAnsi="宋体"/>
          <w:b/>
          <w:sz w:val="24"/>
        </w:rPr>
        <w:t>时限</w:t>
      </w:r>
      <w:r>
        <w:rPr>
          <w:rFonts w:ascii="宋体" w:hAnsi="宋体"/>
          <w:b/>
          <w:sz w:val="24"/>
        </w:rPr>
        <w:t>内提交</w:t>
      </w:r>
      <w:r>
        <w:rPr>
          <w:rFonts w:hint="eastAsia" w:ascii="宋体" w:hAnsi="宋体"/>
          <w:b/>
          <w:sz w:val="24"/>
        </w:rPr>
        <w:t>谈判</w:t>
      </w:r>
      <w:r>
        <w:rPr>
          <w:rFonts w:ascii="宋体" w:hAnsi="宋体"/>
          <w:b/>
          <w:sz w:val="24"/>
        </w:rPr>
        <w:t>响应最终报价</w:t>
      </w:r>
      <w:r>
        <w:rPr>
          <w:rFonts w:hint="eastAsia" w:ascii="宋体" w:hAnsi="宋体"/>
          <w:b/>
          <w:sz w:val="24"/>
        </w:rPr>
        <w:t>。</w:t>
      </w:r>
    </w:p>
    <w:p w14:paraId="3FFA8A9D">
      <w:pPr>
        <w:autoSpaceDE w:val="0"/>
        <w:autoSpaceDN w:val="0"/>
        <w:adjustRightInd w:val="0"/>
        <w:spacing w:before="60" w:after="60" w:line="360" w:lineRule="auto"/>
        <w:rPr>
          <w:rFonts w:cs="宋体"/>
          <w:b/>
          <w:sz w:val="24"/>
        </w:rPr>
      </w:pPr>
      <w:r>
        <w:rPr>
          <w:rFonts w:hint="eastAsia" w:ascii="宋体" w:hAnsi="宋体"/>
          <w:b/>
          <w:sz w:val="24"/>
        </w:rPr>
        <w:t>17.4</w:t>
      </w:r>
      <w:r>
        <w:rPr>
          <w:rFonts w:hint="eastAsia" w:cs="宋体"/>
          <w:b/>
          <w:sz w:val="24"/>
        </w:rPr>
        <w:t>在线谈判</w:t>
      </w:r>
      <w:r>
        <w:rPr>
          <w:rFonts w:cs="宋体"/>
          <w:b/>
          <w:sz w:val="24"/>
        </w:rPr>
        <w:t>时间和提交</w:t>
      </w:r>
      <w:r>
        <w:rPr>
          <w:rFonts w:hint="eastAsia" w:cs="宋体"/>
          <w:b/>
          <w:sz w:val="24"/>
        </w:rPr>
        <w:t>最终</w:t>
      </w:r>
      <w:r>
        <w:rPr>
          <w:rFonts w:cs="宋体"/>
          <w:b/>
          <w:sz w:val="24"/>
        </w:rPr>
        <w:t>报价的时间</w:t>
      </w:r>
      <w:r>
        <w:rPr>
          <w:rFonts w:hint="eastAsia" w:cs="宋体"/>
          <w:b/>
          <w:sz w:val="24"/>
        </w:rPr>
        <w:t>见</w:t>
      </w:r>
      <w:r>
        <w:rPr>
          <w:rFonts w:cs="宋体"/>
          <w:b/>
          <w:sz w:val="24"/>
        </w:rPr>
        <w:t>本须知前附表。</w:t>
      </w:r>
    </w:p>
    <w:p w14:paraId="09A4893F">
      <w:pPr>
        <w:spacing w:line="360" w:lineRule="auto"/>
        <w:rPr>
          <w:rFonts w:ascii="宋体" w:hAnsi="宋体"/>
          <w:b/>
          <w:sz w:val="24"/>
        </w:rPr>
      </w:pPr>
      <w:r>
        <w:rPr>
          <w:rFonts w:hint="eastAsia" w:ascii="宋体" w:hAnsi="宋体"/>
          <w:b/>
          <w:sz w:val="24"/>
        </w:rPr>
        <w:t>1</w:t>
      </w:r>
      <w:r>
        <w:rPr>
          <w:rFonts w:ascii="宋体" w:hAnsi="宋体"/>
          <w:b/>
          <w:sz w:val="24"/>
        </w:rPr>
        <w:t>8</w:t>
      </w:r>
      <w:r>
        <w:rPr>
          <w:rFonts w:hint="eastAsia" w:ascii="宋体" w:hAnsi="宋体"/>
          <w:b/>
          <w:sz w:val="24"/>
        </w:rPr>
        <w:t>.采购</w:t>
      </w:r>
      <w:r>
        <w:rPr>
          <w:rFonts w:ascii="宋体" w:hAnsi="宋体"/>
          <w:b/>
          <w:sz w:val="24"/>
        </w:rPr>
        <w:t>货物</w:t>
      </w:r>
      <w:r>
        <w:rPr>
          <w:rFonts w:hint="eastAsia" w:ascii="宋体" w:hAnsi="宋体"/>
          <w:b/>
          <w:sz w:val="24"/>
        </w:rPr>
        <w:t>进口产品规定</w:t>
      </w:r>
    </w:p>
    <w:p w14:paraId="0831F20F">
      <w:pPr>
        <w:spacing w:line="360" w:lineRule="auto"/>
        <w:rPr>
          <w:rFonts w:ascii="宋体" w:hAnsi="宋体"/>
          <w:sz w:val="24"/>
        </w:rPr>
      </w:pPr>
      <w:r>
        <w:rPr>
          <w:rFonts w:hint="eastAsia" w:ascii="宋体" w:hAnsi="宋体"/>
          <w:sz w:val="24"/>
        </w:rPr>
        <w:t>1</w:t>
      </w:r>
      <w:r>
        <w:rPr>
          <w:rFonts w:ascii="宋体" w:hAnsi="宋体"/>
          <w:sz w:val="24"/>
        </w:rPr>
        <w:t>8</w:t>
      </w:r>
      <w:r>
        <w:rPr>
          <w:rFonts w:hint="eastAsia" w:ascii="宋体" w:hAnsi="宋体"/>
          <w:sz w:val="24"/>
        </w:rPr>
        <w:t>.1政府采购应当采购本国货物。按照财政部《政府采购进口产品管理办法》规定确需采购进口产品的，实行审核管理。经审核允许采购进口产品的，不得排斥符合要求的本国产品。在谈判文件中未标明采购进口产品的，均为采购本国产品。供应商必须响应本国产品，响应进口产品的，磋谈判响应文件无效。进口产品是指通过中国海关报关验放进入中国境内且产自关境外的产品。</w:t>
      </w:r>
    </w:p>
    <w:p w14:paraId="7F1FD774">
      <w:pPr>
        <w:spacing w:line="360" w:lineRule="auto"/>
        <w:rPr>
          <w:rFonts w:ascii="宋体" w:hAnsi="宋体"/>
          <w:sz w:val="24"/>
        </w:rPr>
      </w:pPr>
      <w:r>
        <w:rPr>
          <w:rFonts w:hint="eastAsia" w:ascii="宋体" w:hAnsi="宋体"/>
          <w:sz w:val="24"/>
        </w:rPr>
        <w:t>1</w:t>
      </w:r>
      <w:r>
        <w:rPr>
          <w:rFonts w:ascii="宋体" w:hAnsi="宋体"/>
          <w:sz w:val="24"/>
        </w:rPr>
        <w:t>8</w:t>
      </w:r>
      <w:r>
        <w:rPr>
          <w:rFonts w:hint="eastAsia" w:ascii="宋体" w:hAnsi="宋体"/>
          <w:sz w:val="24"/>
        </w:rPr>
        <w:t>.2政府采购进口产品合同应当将维护国家利益和社会公共利益作为必备条款。合同履行过程中出现危害国家利益和社会公共利益问题的，采购人应当立即终止合同。</w:t>
      </w:r>
    </w:p>
    <w:p w14:paraId="03996B37">
      <w:pPr>
        <w:spacing w:line="360" w:lineRule="auto"/>
        <w:rPr>
          <w:rFonts w:ascii="宋体" w:hAnsi="宋体"/>
          <w:sz w:val="24"/>
        </w:rPr>
      </w:pPr>
      <w:r>
        <w:rPr>
          <w:rFonts w:hint="eastAsia" w:ascii="宋体" w:hAnsi="宋体"/>
          <w:b/>
          <w:sz w:val="24"/>
        </w:rPr>
        <w:t>1</w:t>
      </w:r>
      <w:r>
        <w:rPr>
          <w:rFonts w:ascii="宋体" w:hAnsi="宋体"/>
          <w:b/>
          <w:sz w:val="24"/>
        </w:rPr>
        <w:t>9</w:t>
      </w:r>
      <w:r>
        <w:rPr>
          <w:rFonts w:hint="eastAsia" w:ascii="宋体" w:hAnsi="宋体"/>
          <w:b/>
          <w:sz w:val="24"/>
        </w:rPr>
        <w:t>.谈判有效期</w:t>
      </w:r>
    </w:p>
    <w:p w14:paraId="2FB2CA04">
      <w:pPr>
        <w:spacing w:line="360" w:lineRule="auto"/>
        <w:rPr>
          <w:rFonts w:ascii="宋体" w:hAnsi="宋体"/>
          <w:sz w:val="24"/>
        </w:rPr>
      </w:pPr>
      <w:r>
        <w:rPr>
          <w:rFonts w:hint="eastAsia" w:ascii="宋体" w:hAnsi="宋体"/>
          <w:sz w:val="24"/>
        </w:rPr>
        <w:t>1</w:t>
      </w:r>
      <w:r>
        <w:rPr>
          <w:rFonts w:ascii="宋体" w:hAnsi="宋体"/>
          <w:sz w:val="24"/>
        </w:rPr>
        <w:t>9</w:t>
      </w:r>
      <w:r>
        <w:rPr>
          <w:rFonts w:hint="eastAsia" w:ascii="宋体" w:hAnsi="宋体"/>
          <w:sz w:val="24"/>
        </w:rPr>
        <w:t>.1谈判响应文件应在本须知前附表所规定的谈判截止期之后开始生效，响应谈判供应商不得在本须知规定的谈判有效期内要求撤销或修改其谈判响应文件。</w:t>
      </w:r>
    </w:p>
    <w:p w14:paraId="78FCB54B">
      <w:pPr>
        <w:spacing w:line="360" w:lineRule="auto"/>
        <w:rPr>
          <w:rFonts w:ascii="宋体" w:hAnsi="宋体"/>
          <w:b/>
          <w:sz w:val="24"/>
        </w:rPr>
      </w:pPr>
      <w:r>
        <w:rPr>
          <w:rFonts w:hint="eastAsia" w:ascii="宋体" w:hAnsi="宋体"/>
          <w:sz w:val="24"/>
        </w:rPr>
        <w:t>1</w:t>
      </w:r>
      <w:r>
        <w:rPr>
          <w:rFonts w:ascii="宋体" w:hAnsi="宋体"/>
          <w:sz w:val="24"/>
        </w:rPr>
        <w:t>9</w:t>
      </w:r>
      <w:r>
        <w:rPr>
          <w:rFonts w:hint="eastAsia" w:ascii="宋体" w:hAnsi="宋体"/>
          <w:sz w:val="24"/>
        </w:rPr>
        <w:t>.2出现特殊情况需要延长响应有效期的，采购机构以书面形式通知所有响应谈判供应商延长谈判有效期。响应谈判供应商同意延长的，但不得要求或被允许修改或撤销其谈判响应文件。响应谈判供应商拒绝延长的，其谈判响应失效。</w:t>
      </w:r>
      <w:r>
        <w:rPr>
          <w:rFonts w:ascii="宋体" w:hAnsi="宋体"/>
          <w:b/>
          <w:sz w:val="24"/>
        </w:rPr>
        <w:t xml:space="preserve"> </w:t>
      </w:r>
    </w:p>
    <w:p w14:paraId="11C40725">
      <w:pPr>
        <w:spacing w:line="360" w:lineRule="auto"/>
        <w:rPr>
          <w:rFonts w:ascii="宋体" w:hAnsi="宋体"/>
          <w:sz w:val="24"/>
        </w:rPr>
      </w:pPr>
      <w:r>
        <w:rPr>
          <w:rFonts w:hint="eastAsia" w:ascii="宋体" w:hAnsi="宋体"/>
          <w:b/>
          <w:sz w:val="24"/>
        </w:rPr>
        <w:t>20.响应谈判供应商的不良行为</w:t>
      </w:r>
    </w:p>
    <w:p w14:paraId="2852C486">
      <w:pPr>
        <w:spacing w:line="360" w:lineRule="auto"/>
        <w:ind w:firstLine="480" w:firstLineChars="200"/>
        <w:rPr>
          <w:rFonts w:ascii="宋体" w:hAnsi="宋体"/>
          <w:sz w:val="24"/>
        </w:rPr>
      </w:pPr>
      <w:r>
        <w:rPr>
          <w:rFonts w:hint="eastAsia" w:ascii="宋体" w:hAnsi="宋体"/>
          <w:sz w:val="24"/>
        </w:rPr>
        <w:t>响应谈判供应商有下列情形之一且情节严重的，由财政部门将其列入不良行为记录名单，在一至三年内禁止参加政府采购活动，并予以通报：</w:t>
      </w:r>
    </w:p>
    <w:p w14:paraId="0A4A175C">
      <w:pPr>
        <w:spacing w:line="360" w:lineRule="auto"/>
        <w:rPr>
          <w:rFonts w:ascii="宋体" w:hAnsi="宋体"/>
          <w:sz w:val="24"/>
        </w:rPr>
      </w:pPr>
      <w:r>
        <w:rPr>
          <w:rFonts w:ascii="宋体" w:hAnsi="宋体"/>
          <w:sz w:val="24"/>
        </w:rPr>
        <w:t>20</w:t>
      </w:r>
      <w:r>
        <w:rPr>
          <w:rFonts w:hint="eastAsia" w:ascii="宋体" w:hAnsi="宋体"/>
          <w:sz w:val="24"/>
        </w:rPr>
        <w:t>.</w:t>
      </w:r>
      <w:r>
        <w:rPr>
          <w:rFonts w:ascii="宋体" w:hAnsi="宋体"/>
          <w:sz w:val="24"/>
        </w:rPr>
        <w:t>1</w:t>
      </w:r>
      <w:r>
        <w:rPr>
          <w:rFonts w:hint="eastAsia" w:ascii="宋体" w:hAnsi="宋体"/>
          <w:sz w:val="24"/>
        </w:rPr>
        <w:t>响应谈判供应商在响应有效期限内撤回或修改其谈判响应文件的；</w:t>
      </w:r>
    </w:p>
    <w:p w14:paraId="576ECD42">
      <w:pPr>
        <w:spacing w:line="360" w:lineRule="auto"/>
        <w:rPr>
          <w:rFonts w:ascii="宋体" w:hAnsi="宋体"/>
          <w:sz w:val="24"/>
        </w:rPr>
      </w:pPr>
      <w:r>
        <w:rPr>
          <w:rFonts w:ascii="宋体" w:hAnsi="宋体"/>
          <w:sz w:val="24"/>
        </w:rPr>
        <w:t>20</w:t>
      </w:r>
      <w:r>
        <w:rPr>
          <w:rFonts w:hint="eastAsia" w:ascii="宋体" w:hAnsi="宋体"/>
          <w:sz w:val="24"/>
        </w:rPr>
        <w:t>.2响应谈判供应商不接受按第3</w:t>
      </w:r>
      <w:r>
        <w:rPr>
          <w:rFonts w:ascii="宋体" w:hAnsi="宋体"/>
          <w:sz w:val="24"/>
        </w:rPr>
        <w:t>1</w:t>
      </w:r>
      <w:r>
        <w:rPr>
          <w:rFonts w:hint="eastAsia" w:ascii="宋体" w:hAnsi="宋体"/>
          <w:sz w:val="24"/>
        </w:rPr>
        <w:t>条规定其响应价格的修正的；</w:t>
      </w:r>
    </w:p>
    <w:p w14:paraId="50C53697">
      <w:pPr>
        <w:spacing w:line="360" w:lineRule="auto"/>
        <w:rPr>
          <w:rFonts w:ascii="宋体" w:hAnsi="宋体"/>
          <w:sz w:val="24"/>
        </w:rPr>
      </w:pPr>
      <w:r>
        <w:rPr>
          <w:rFonts w:ascii="宋体" w:hAnsi="宋体"/>
          <w:sz w:val="24"/>
        </w:rPr>
        <w:t>20</w:t>
      </w:r>
      <w:r>
        <w:rPr>
          <w:rFonts w:hint="eastAsia" w:ascii="宋体" w:hAnsi="宋体"/>
          <w:sz w:val="24"/>
        </w:rPr>
        <w:t>.3响应谈判供应商在谈判响应文件中提供虚假材料的；</w:t>
      </w:r>
    </w:p>
    <w:p w14:paraId="38CC21FD">
      <w:pPr>
        <w:spacing w:line="360" w:lineRule="auto"/>
        <w:rPr>
          <w:rFonts w:ascii="宋体" w:hAnsi="宋体"/>
          <w:sz w:val="24"/>
        </w:rPr>
      </w:pPr>
      <w:r>
        <w:rPr>
          <w:rFonts w:ascii="宋体" w:hAnsi="宋体"/>
          <w:sz w:val="24"/>
        </w:rPr>
        <w:t>20</w:t>
      </w:r>
      <w:r>
        <w:rPr>
          <w:rFonts w:hint="eastAsia" w:ascii="宋体" w:hAnsi="宋体"/>
          <w:sz w:val="24"/>
        </w:rPr>
        <w:t>.4供应商与采购人、其他供应商或采购代理机构恶意串通的；</w:t>
      </w:r>
    </w:p>
    <w:p w14:paraId="0A40A64E">
      <w:pPr>
        <w:spacing w:line="360" w:lineRule="auto"/>
        <w:rPr>
          <w:rFonts w:ascii="宋体" w:hAnsi="宋体"/>
          <w:sz w:val="24"/>
        </w:rPr>
      </w:pPr>
      <w:r>
        <w:rPr>
          <w:rFonts w:ascii="宋体" w:hAnsi="宋体"/>
          <w:sz w:val="24"/>
        </w:rPr>
        <w:t>20</w:t>
      </w:r>
      <w:r>
        <w:rPr>
          <w:rFonts w:hint="eastAsia" w:ascii="宋体" w:hAnsi="宋体"/>
          <w:sz w:val="24"/>
        </w:rPr>
        <w:t>.5成交供应商未按谈判文件规定提交履约保证金或未能在规定期限内签署合同的。</w:t>
      </w:r>
    </w:p>
    <w:p w14:paraId="6D38A512">
      <w:pPr>
        <w:spacing w:line="360" w:lineRule="auto"/>
        <w:rPr>
          <w:rFonts w:ascii="宋体" w:hAnsi="宋体"/>
          <w:b/>
          <w:bCs/>
          <w:sz w:val="24"/>
        </w:rPr>
      </w:pPr>
      <w:r>
        <w:rPr>
          <w:rFonts w:ascii="宋体" w:hAnsi="宋体"/>
          <w:b/>
          <w:bCs/>
          <w:sz w:val="24"/>
        </w:rPr>
        <w:t>21</w:t>
      </w:r>
      <w:r>
        <w:rPr>
          <w:rFonts w:hint="eastAsia" w:ascii="宋体" w:hAnsi="宋体"/>
          <w:b/>
          <w:bCs/>
          <w:sz w:val="24"/>
        </w:rPr>
        <w:t>.谈判响应文件的编制</w:t>
      </w:r>
    </w:p>
    <w:p w14:paraId="3121A039">
      <w:pPr>
        <w:spacing w:line="360" w:lineRule="auto"/>
        <w:rPr>
          <w:rFonts w:ascii="宋体" w:hAnsi="宋体"/>
          <w:bCs/>
          <w:sz w:val="24"/>
        </w:rPr>
      </w:pPr>
      <w:r>
        <w:rPr>
          <w:rFonts w:ascii="宋体" w:hAnsi="宋体"/>
          <w:bCs/>
          <w:sz w:val="24"/>
        </w:rPr>
        <w:t>21</w:t>
      </w:r>
      <w:r>
        <w:rPr>
          <w:rFonts w:hint="eastAsia" w:ascii="宋体" w:hAnsi="宋体"/>
          <w:bCs/>
          <w:sz w:val="24"/>
        </w:rPr>
        <w:t>.1谈判响应文件包括本须知第1</w:t>
      </w:r>
      <w:r>
        <w:rPr>
          <w:rFonts w:ascii="宋体" w:hAnsi="宋体"/>
          <w:bCs/>
          <w:sz w:val="24"/>
        </w:rPr>
        <w:t>5</w:t>
      </w:r>
      <w:r>
        <w:rPr>
          <w:rFonts w:hint="eastAsia" w:ascii="宋体" w:hAnsi="宋体"/>
          <w:bCs/>
          <w:sz w:val="24"/>
        </w:rPr>
        <w:t>条规定的内容，响应谈判供应商上传的谈判响应文件应按谈判文件第六章“谈判响应文件格式”进行编写，如有必要，可以增加附页，作为谈判响应文件的组成部分。其中，谈判响应函在满足谈判文件实质性要求的基础上，可以提出比谈判文件更有利于采购人的承诺。</w:t>
      </w:r>
    </w:p>
    <w:p w14:paraId="720C67C5">
      <w:pPr>
        <w:spacing w:line="360" w:lineRule="auto"/>
        <w:rPr>
          <w:rFonts w:ascii="宋体" w:hAnsi="宋体"/>
          <w:bCs/>
          <w:sz w:val="24"/>
        </w:rPr>
      </w:pPr>
      <w:r>
        <w:rPr>
          <w:rFonts w:ascii="宋体" w:hAnsi="宋体"/>
          <w:bCs/>
          <w:sz w:val="24"/>
        </w:rPr>
        <w:t>21</w:t>
      </w:r>
      <w:r>
        <w:rPr>
          <w:rFonts w:hint="eastAsia" w:ascii="宋体" w:hAnsi="宋体"/>
          <w:bCs/>
          <w:sz w:val="24"/>
        </w:rPr>
        <w:t>.2谈判响应文件应当对谈判文件有关供货期、谈判响应有效期、质量要求、谈判内容等实质性内容作出响应。</w:t>
      </w:r>
    </w:p>
    <w:p w14:paraId="60F5F231">
      <w:pPr>
        <w:spacing w:line="360" w:lineRule="auto"/>
        <w:rPr>
          <w:rFonts w:ascii="宋体" w:hAnsi="宋体"/>
          <w:b/>
          <w:bCs/>
          <w:sz w:val="24"/>
        </w:rPr>
      </w:pPr>
      <w:r>
        <w:rPr>
          <w:rFonts w:ascii="宋体" w:hAnsi="宋体"/>
          <w:b/>
          <w:bCs/>
          <w:sz w:val="24"/>
        </w:rPr>
        <w:t>21</w:t>
      </w:r>
      <w:r>
        <w:rPr>
          <w:rFonts w:hint="eastAsia" w:ascii="宋体" w:hAnsi="宋体"/>
          <w:b/>
          <w:bCs/>
          <w:sz w:val="24"/>
        </w:rPr>
        <w:t>.3谈判响应文件电子版一份，</w:t>
      </w:r>
      <w:r>
        <w:rPr>
          <w:rFonts w:hint="eastAsia" w:ascii="宋体"/>
          <w:b/>
          <w:bCs/>
          <w:sz w:val="24"/>
        </w:rPr>
        <w:t>上传</w:t>
      </w:r>
      <w:r>
        <w:rPr>
          <w:rFonts w:ascii="宋体"/>
          <w:b/>
          <w:bCs/>
          <w:sz w:val="24"/>
        </w:rPr>
        <w:t>的</w:t>
      </w:r>
      <w:r>
        <w:rPr>
          <w:rFonts w:hint="eastAsia" w:ascii="宋体" w:hAnsi="宋体"/>
          <w:b/>
          <w:sz w:val="24"/>
        </w:rPr>
        <w:t>谈判响应文件应在规定位置处，由响应谈判供应商的法定代表人或被授权委托人签字或盖章、加盖响应谈判供应商公章，同时加盖骑缝章；上述盖章为电子章</w:t>
      </w:r>
      <w:r>
        <w:rPr>
          <w:rFonts w:ascii="宋体" w:hAnsi="宋体"/>
          <w:b/>
          <w:sz w:val="24"/>
        </w:rPr>
        <w:t>或者</w:t>
      </w:r>
      <w:r>
        <w:rPr>
          <w:rFonts w:hint="eastAsia" w:ascii="宋体" w:hAnsi="宋体"/>
          <w:b/>
          <w:sz w:val="24"/>
        </w:rPr>
        <w:t>鲜章。</w:t>
      </w:r>
    </w:p>
    <w:p w14:paraId="565924EE">
      <w:pPr>
        <w:spacing w:line="360" w:lineRule="auto"/>
        <w:jc w:val="left"/>
        <w:rPr>
          <w:rFonts w:ascii="宋体" w:hAnsi="宋体"/>
          <w:b/>
          <w:sz w:val="24"/>
        </w:rPr>
      </w:pPr>
      <w:r>
        <w:rPr>
          <w:rFonts w:ascii="宋体" w:hAnsi="宋体"/>
          <w:b/>
          <w:sz w:val="24"/>
        </w:rPr>
        <w:t>21</w:t>
      </w:r>
      <w:r>
        <w:rPr>
          <w:rFonts w:hint="eastAsia" w:ascii="宋体" w:hAnsi="宋体"/>
          <w:b/>
          <w:sz w:val="24"/>
        </w:rPr>
        <w:t>.</w:t>
      </w:r>
      <w:r>
        <w:rPr>
          <w:rFonts w:ascii="宋体" w:hAnsi="宋体"/>
          <w:b/>
          <w:sz w:val="24"/>
        </w:rPr>
        <w:t>4</w:t>
      </w:r>
      <w:r>
        <w:rPr>
          <w:rFonts w:hint="eastAsia" w:ascii="宋体" w:hAnsi="宋体"/>
          <w:b/>
          <w:sz w:val="24"/>
        </w:rPr>
        <w:t>谈判响应文件中的内容</w:t>
      </w:r>
      <w:r>
        <w:rPr>
          <w:rFonts w:ascii="宋体" w:hAnsi="宋体"/>
          <w:b/>
          <w:sz w:val="24"/>
        </w:rPr>
        <w:t>要</w:t>
      </w:r>
      <w:r>
        <w:rPr>
          <w:rFonts w:hint="eastAsia" w:ascii="宋体" w:hAnsi="宋体"/>
          <w:b/>
          <w:sz w:val="24"/>
        </w:rPr>
        <w:t>清晰，易于辨认，且无篡改</w:t>
      </w:r>
      <w:r>
        <w:rPr>
          <w:rFonts w:ascii="宋体" w:hAnsi="宋体"/>
          <w:b/>
          <w:sz w:val="24"/>
        </w:rPr>
        <w:t>图片</w:t>
      </w:r>
      <w:r>
        <w:rPr>
          <w:rFonts w:hint="eastAsia" w:ascii="宋体" w:hAnsi="宋体"/>
          <w:b/>
          <w:sz w:val="24"/>
        </w:rPr>
        <w:t>，除非这些改动是根据采购机构的指示进行的，或者是为改正响应谈判供应商造成的必须修改的错误而进行的。有改动时，修改处应由响应谈判供应商的法定代表人或被授权委托人签字或盖章，并</w:t>
      </w:r>
      <w:r>
        <w:rPr>
          <w:rFonts w:ascii="宋体" w:hAnsi="宋体"/>
          <w:b/>
          <w:sz w:val="24"/>
        </w:rPr>
        <w:t>加盖公章</w:t>
      </w:r>
      <w:r>
        <w:rPr>
          <w:rFonts w:hint="eastAsia" w:ascii="宋体" w:hAnsi="宋体"/>
          <w:b/>
          <w:sz w:val="24"/>
        </w:rPr>
        <w:t>；上述盖章为电子章</w:t>
      </w:r>
      <w:r>
        <w:rPr>
          <w:rFonts w:ascii="宋体" w:hAnsi="宋体"/>
          <w:b/>
          <w:sz w:val="24"/>
        </w:rPr>
        <w:t>或者</w:t>
      </w:r>
      <w:r>
        <w:rPr>
          <w:rFonts w:hint="eastAsia" w:ascii="宋体" w:hAnsi="宋体"/>
          <w:b/>
          <w:sz w:val="24"/>
        </w:rPr>
        <w:t>鲜章。</w:t>
      </w:r>
    </w:p>
    <w:p w14:paraId="34EAA437">
      <w:pPr>
        <w:spacing w:after="120"/>
        <w:jc w:val="left"/>
        <w:rPr>
          <w:rFonts w:ascii="宋体" w:hAnsi="宋体"/>
          <w:sz w:val="24"/>
        </w:rPr>
      </w:pPr>
      <w:r>
        <w:rPr>
          <w:rFonts w:ascii="宋体"/>
          <w:b/>
          <w:bCs/>
          <w:sz w:val="24"/>
        </w:rPr>
        <w:t>21.5</w:t>
      </w:r>
      <w:r>
        <w:rPr>
          <w:rFonts w:hint="eastAsia" w:ascii="宋体" w:hAnsi="宋体"/>
          <w:b/>
          <w:sz w:val="24"/>
        </w:rPr>
        <w:t>如果响应谈判供应商没有按本须知要求制作、签署、盖章，在初步评审时将按照无效响应处理</w:t>
      </w:r>
      <w:r>
        <w:rPr>
          <w:rFonts w:hint="eastAsia" w:ascii="宋体" w:hAnsi="宋体"/>
          <w:sz w:val="24"/>
        </w:rPr>
        <w:t>。</w:t>
      </w:r>
    </w:p>
    <w:p w14:paraId="7EAB69DC">
      <w:pPr>
        <w:spacing w:line="360" w:lineRule="auto"/>
        <w:outlineLvl w:val="1"/>
        <w:rPr>
          <w:rFonts w:ascii="宋体" w:hAnsi="宋体"/>
          <w:b/>
          <w:sz w:val="28"/>
          <w:szCs w:val="28"/>
        </w:rPr>
      </w:pPr>
      <w:bookmarkStart w:id="24" w:name="_Toc103723521"/>
    </w:p>
    <w:p w14:paraId="11092166">
      <w:pPr>
        <w:spacing w:line="360" w:lineRule="auto"/>
        <w:jc w:val="center"/>
        <w:outlineLvl w:val="1"/>
        <w:rPr>
          <w:rFonts w:ascii="宋体" w:hAnsi="宋体"/>
          <w:b/>
          <w:sz w:val="28"/>
          <w:szCs w:val="28"/>
        </w:rPr>
      </w:pPr>
      <w:r>
        <w:rPr>
          <w:rFonts w:hint="eastAsia" w:ascii="宋体" w:hAnsi="宋体"/>
          <w:b/>
          <w:sz w:val="28"/>
          <w:szCs w:val="28"/>
        </w:rPr>
        <w:t>五、</w:t>
      </w:r>
      <w:bookmarkEnd w:id="24"/>
      <w:r>
        <w:rPr>
          <w:rFonts w:hint="eastAsia" w:ascii="宋体" w:hAnsi="宋体"/>
          <w:b/>
          <w:sz w:val="28"/>
          <w:szCs w:val="28"/>
        </w:rPr>
        <w:t>谈判响应</w:t>
      </w:r>
    </w:p>
    <w:p w14:paraId="2652FEED">
      <w:pPr>
        <w:spacing w:line="360" w:lineRule="auto"/>
        <w:jc w:val="left"/>
        <w:rPr>
          <w:rFonts w:ascii="宋体" w:hAnsi="宋体"/>
          <w:sz w:val="24"/>
        </w:rPr>
      </w:pPr>
      <w:r>
        <w:rPr>
          <w:rFonts w:hint="eastAsia" w:ascii="宋体" w:hAnsi="宋体"/>
          <w:b/>
          <w:sz w:val="24"/>
        </w:rPr>
        <w:t>2</w:t>
      </w:r>
      <w:r>
        <w:rPr>
          <w:rFonts w:ascii="宋体" w:hAnsi="宋体"/>
          <w:b/>
          <w:sz w:val="24"/>
        </w:rPr>
        <w:t>2</w:t>
      </w:r>
      <w:r>
        <w:rPr>
          <w:rFonts w:hint="eastAsia" w:ascii="宋体" w:hAnsi="宋体"/>
          <w:b/>
          <w:sz w:val="24"/>
        </w:rPr>
        <w:t>.谈判响应文件的上传、解密</w:t>
      </w:r>
    </w:p>
    <w:p w14:paraId="590A9EC4">
      <w:pPr>
        <w:spacing w:line="360" w:lineRule="auto"/>
        <w:rPr>
          <w:rFonts w:ascii="宋体" w:hAnsi="宋体"/>
          <w:sz w:val="24"/>
        </w:rPr>
      </w:pPr>
      <w:r>
        <w:rPr>
          <w:rFonts w:cs="宋体" w:asciiTheme="minorEastAsia" w:hAnsiTheme="minorEastAsia" w:eastAsiaTheme="minorEastAsia"/>
          <w:b/>
          <w:sz w:val="24"/>
        </w:rPr>
        <w:t>22.1</w:t>
      </w:r>
      <w:r>
        <w:rPr>
          <w:rFonts w:hint="eastAsia" w:ascii="宋体" w:hAnsi="宋体"/>
          <w:b/>
          <w:bCs/>
          <w:sz w:val="24"/>
        </w:rPr>
        <w:t>响应谈判供应商应在本须知前附表规定的谈判响应截止时间前上传谈判响应文件，</w:t>
      </w:r>
      <w:r>
        <w:rPr>
          <w:rFonts w:ascii="宋体" w:hAnsi="宋体"/>
          <w:b/>
          <w:bCs/>
          <w:sz w:val="24"/>
        </w:rPr>
        <w:t>在规定的</w:t>
      </w:r>
      <w:r>
        <w:rPr>
          <w:rFonts w:hint="eastAsia" w:ascii="宋体" w:hAnsi="宋体"/>
          <w:b/>
          <w:bCs/>
          <w:sz w:val="24"/>
        </w:rPr>
        <w:t>解密</w:t>
      </w:r>
      <w:r>
        <w:rPr>
          <w:rFonts w:ascii="宋体" w:hAnsi="宋体"/>
          <w:b/>
          <w:bCs/>
          <w:sz w:val="24"/>
        </w:rPr>
        <w:t>时间</w:t>
      </w:r>
      <w:r>
        <w:rPr>
          <w:rFonts w:hint="eastAsia" w:ascii="宋体" w:hAnsi="宋体"/>
          <w:b/>
          <w:bCs/>
          <w:sz w:val="24"/>
        </w:rPr>
        <w:t>内</w:t>
      </w:r>
      <w:r>
        <w:rPr>
          <w:rFonts w:ascii="宋体" w:hAnsi="宋体"/>
          <w:b/>
          <w:bCs/>
          <w:sz w:val="24"/>
        </w:rPr>
        <w:t>解密谈判响应文件。</w:t>
      </w:r>
    </w:p>
    <w:p w14:paraId="0779A8C9">
      <w:pPr>
        <w:spacing w:line="360" w:lineRule="auto"/>
        <w:rPr>
          <w:rFonts w:ascii="宋体" w:hAnsi="宋体"/>
          <w:b/>
          <w:sz w:val="24"/>
        </w:rPr>
      </w:pPr>
      <w:r>
        <w:rPr>
          <w:rFonts w:cs="宋体" w:asciiTheme="minorEastAsia" w:hAnsiTheme="minorEastAsia" w:eastAsiaTheme="minorEastAsia"/>
          <w:b/>
          <w:sz w:val="24"/>
        </w:rPr>
        <w:t>22.2</w:t>
      </w:r>
      <w:r>
        <w:rPr>
          <w:rFonts w:hint="eastAsia" w:cs="宋体" w:asciiTheme="minorEastAsia" w:hAnsiTheme="minorEastAsia" w:eastAsiaTheme="minorEastAsia"/>
          <w:b/>
          <w:sz w:val="24"/>
        </w:rPr>
        <w:t>响应谈判供应商须在本须知</w:t>
      </w:r>
      <w:r>
        <w:rPr>
          <w:rFonts w:cs="宋体" w:asciiTheme="minorEastAsia" w:hAnsiTheme="minorEastAsia" w:eastAsiaTheme="minorEastAsia"/>
          <w:b/>
          <w:sz w:val="24"/>
        </w:rPr>
        <w:t>前附表</w:t>
      </w:r>
      <w:r>
        <w:rPr>
          <w:rFonts w:hint="eastAsia" w:cs="宋体" w:asciiTheme="minorEastAsia" w:hAnsiTheme="minorEastAsia" w:eastAsiaTheme="minorEastAsia"/>
          <w:b/>
          <w:sz w:val="24"/>
        </w:rPr>
        <w:t>规定</w:t>
      </w:r>
      <w:r>
        <w:rPr>
          <w:rFonts w:cs="宋体" w:asciiTheme="minorEastAsia" w:hAnsiTheme="minorEastAsia" w:eastAsiaTheme="minorEastAsia"/>
          <w:b/>
          <w:sz w:val="24"/>
        </w:rPr>
        <w:t>的方式上</w:t>
      </w:r>
      <w:r>
        <w:rPr>
          <w:rFonts w:hint="eastAsia" w:cs="宋体" w:asciiTheme="minorEastAsia" w:hAnsiTheme="minorEastAsia" w:eastAsiaTheme="minorEastAsia"/>
          <w:b/>
          <w:sz w:val="24"/>
        </w:rPr>
        <w:t>传谈判响应文件。谈判响应文件应在制作完成后，在谈判响应截止</w:t>
      </w:r>
      <w:r>
        <w:rPr>
          <w:rFonts w:cs="宋体" w:asciiTheme="minorEastAsia" w:hAnsiTheme="minorEastAsia" w:eastAsiaTheme="minorEastAsia"/>
          <w:b/>
          <w:sz w:val="24"/>
        </w:rPr>
        <w:t>时间</w:t>
      </w:r>
      <w:r>
        <w:rPr>
          <w:rFonts w:hint="eastAsia" w:cs="宋体" w:asciiTheme="minorEastAsia" w:hAnsiTheme="minorEastAsia" w:eastAsiaTheme="minorEastAsia"/>
          <w:b/>
          <w:sz w:val="24"/>
        </w:rPr>
        <w:t>前</w:t>
      </w:r>
      <w:r>
        <w:rPr>
          <w:rFonts w:ascii="宋体" w:hAnsi="宋体"/>
          <w:b/>
          <w:sz w:val="24"/>
        </w:rPr>
        <w:t>提交至“</w:t>
      </w:r>
      <w:r>
        <w:rPr>
          <w:rFonts w:hint="eastAsia" w:ascii="宋体" w:hAnsi="宋体"/>
          <w:b/>
          <w:sz w:val="24"/>
        </w:rPr>
        <w:t>政采云</w:t>
      </w:r>
      <w:r>
        <w:rPr>
          <w:rFonts w:ascii="宋体" w:hAnsi="宋体"/>
          <w:b/>
          <w:sz w:val="24"/>
        </w:rPr>
        <w:t>”</w:t>
      </w:r>
      <w:r>
        <w:rPr>
          <w:rFonts w:hint="eastAsia" w:ascii="宋体" w:hAnsi="宋体"/>
          <w:b/>
          <w:sz w:val="24"/>
        </w:rPr>
        <w:t>平台，</w:t>
      </w:r>
      <w:r>
        <w:rPr>
          <w:rFonts w:ascii="宋体" w:hAnsi="宋体"/>
          <w:b/>
          <w:sz w:val="24"/>
        </w:rPr>
        <w:t>并</w:t>
      </w:r>
      <w:r>
        <w:rPr>
          <w:rFonts w:hint="eastAsia" w:ascii="宋体" w:hAnsi="宋体" w:cs="宋体"/>
          <w:b/>
          <w:sz w:val="24"/>
        </w:rPr>
        <w:t>通过数字证书</w:t>
      </w:r>
      <w:r>
        <w:rPr>
          <w:rFonts w:hint="eastAsia" w:ascii="宋体" w:hAnsi="宋体"/>
          <w:b/>
          <w:sz w:val="24"/>
        </w:rPr>
        <w:t>签章、加密。</w:t>
      </w:r>
      <w:r>
        <w:rPr>
          <w:rFonts w:hint="eastAsia" w:cs="宋体" w:asciiTheme="minorEastAsia" w:hAnsiTheme="minorEastAsia" w:eastAsiaTheme="minorEastAsia"/>
          <w:b/>
          <w:sz w:val="24"/>
        </w:rPr>
        <w:t xml:space="preserve">  </w:t>
      </w:r>
    </w:p>
    <w:p w14:paraId="614CE9DB">
      <w:pPr>
        <w:spacing w:line="360" w:lineRule="auto"/>
        <w:rPr>
          <w:rFonts w:ascii="宋体" w:hAnsi="宋体"/>
          <w:sz w:val="24"/>
        </w:rPr>
      </w:pPr>
      <w:r>
        <w:rPr>
          <w:rFonts w:hint="eastAsia" w:ascii="宋体" w:hAnsi="宋体"/>
          <w:sz w:val="24"/>
        </w:rPr>
        <w:t>2</w:t>
      </w:r>
      <w:r>
        <w:rPr>
          <w:rFonts w:ascii="宋体" w:hAnsi="宋体"/>
          <w:sz w:val="24"/>
        </w:rPr>
        <w:t>2.3</w:t>
      </w:r>
      <w:r>
        <w:rPr>
          <w:rFonts w:hint="eastAsia" w:ascii="宋体" w:hAnsi="宋体"/>
          <w:sz w:val="24"/>
        </w:rPr>
        <w:t>逾期上传的或者未上传指定</w:t>
      </w:r>
      <w:r>
        <w:rPr>
          <w:rFonts w:ascii="宋体" w:hAnsi="宋体"/>
          <w:sz w:val="24"/>
        </w:rPr>
        <w:t>“</w:t>
      </w:r>
      <w:r>
        <w:rPr>
          <w:rFonts w:hint="eastAsia" w:ascii="宋体" w:hAnsi="宋体"/>
          <w:sz w:val="24"/>
        </w:rPr>
        <w:t>政采云</w:t>
      </w:r>
      <w:r>
        <w:rPr>
          <w:rFonts w:ascii="宋体" w:hAnsi="宋体"/>
          <w:sz w:val="24"/>
        </w:rPr>
        <w:t>”</w:t>
      </w:r>
      <w:r>
        <w:rPr>
          <w:rFonts w:hint="eastAsia" w:ascii="宋体" w:hAnsi="宋体"/>
          <w:sz w:val="24"/>
        </w:rPr>
        <w:t>平台的谈判响应文件，采购机构不予受理。响应谈判供应商上传的电子谈判响应文件因未解密而造成谈判响应文件无法进行评审的，响应谈判供应商自行承担。</w:t>
      </w:r>
    </w:p>
    <w:p w14:paraId="5EB4514C">
      <w:pPr>
        <w:spacing w:line="360" w:lineRule="auto"/>
        <w:rPr>
          <w:rFonts w:ascii="宋体" w:hAnsi="宋体"/>
          <w:sz w:val="24"/>
        </w:rPr>
      </w:pPr>
      <w:r>
        <w:rPr>
          <w:rFonts w:hint="eastAsia" w:ascii="宋体" w:hAnsi="宋体"/>
          <w:b/>
          <w:sz w:val="24"/>
        </w:rPr>
        <w:t>2</w:t>
      </w:r>
      <w:r>
        <w:rPr>
          <w:rFonts w:ascii="宋体" w:hAnsi="宋体"/>
          <w:b/>
          <w:sz w:val="24"/>
        </w:rPr>
        <w:t>3</w:t>
      </w:r>
      <w:r>
        <w:rPr>
          <w:rFonts w:hint="eastAsia" w:ascii="宋体" w:hAnsi="宋体"/>
          <w:b/>
          <w:sz w:val="24"/>
        </w:rPr>
        <w:t>.谈判</w:t>
      </w:r>
      <w:r>
        <w:rPr>
          <w:rFonts w:ascii="宋体" w:hAnsi="宋体"/>
          <w:b/>
          <w:sz w:val="24"/>
        </w:rPr>
        <w:t>响应</w:t>
      </w:r>
      <w:r>
        <w:rPr>
          <w:rFonts w:hint="eastAsia" w:ascii="宋体" w:hAnsi="宋体"/>
          <w:b/>
          <w:sz w:val="24"/>
        </w:rPr>
        <w:t>截止期</w:t>
      </w:r>
    </w:p>
    <w:p w14:paraId="469FA92D">
      <w:pPr>
        <w:spacing w:line="360" w:lineRule="auto"/>
        <w:rPr>
          <w:rFonts w:ascii="宋体" w:hAnsi="宋体"/>
          <w:sz w:val="24"/>
        </w:rPr>
      </w:pPr>
      <w:r>
        <w:rPr>
          <w:rFonts w:hint="eastAsia" w:ascii="宋体" w:hAnsi="宋体"/>
          <w:sz w:val="24"/>
        </w:rPr>
        <w:t>2</w:t>
      </w:r>
      <w:r>
        <w:rPr>
          <w:rFonts w:ascii="宋体" w:hAnsi="宋体"/>
          <w:sz w:val="24"/>
        </w:rPr>
        <w:t>3</w:t>
      </w:r>
      <w:r>
        <w:rPr>
          <w:rFonts w:hint="eastAsia" w:ascii="宋体" w:hAnsi="宋体"/>
          <w:sz w:val="24"/>
        </w:rPr>
        <w:t>.1谈判响应文件的截止时间、开标时间：见本须知前附表。</w:t>
      </w:r>
    </w:p>
    <w:p w14:paraId="7629F1A5">
      <w:pPr>
        <w:spacing w:line="360" w:lineRule="auto"/>
        <w:rPr>
          <w:rFonts w:ascii="宋体" w:hAnsi="宋体"/>
          <w:sz w:val="24"/>
        </w:rPr>
      </w:pPr>
      <w:r>
        <w:rPr>
          <w:rFonts w:hint="eastAsia" w:ascii="宋体" w:hAnsi="宋体"/>
          <w:sz w:val="24"/>
        </w:rPr>
        <w:t>2</w:t>
      </w:r>
      <w:r>
        <w:rPr>
          <w:rFonts w:ascii="宋体" w:hAnsi="宋体"/>
          <w:sz w:val="24"/>
        </w:rPr>
        <w:t>3</w:t>
      </w:r>
      <w:r>
        <w:rPr>
          <w:rFonts w:hint="eastAsia" w:ascii="宋体" w:hAnsi="宋体"/>
          <w:sz w:val="24"/>
        </w:rPr>
        <w:t>.2采购机构可按本须知第14条的规定以修改补充通知的方式，延长提交谈判响应文件的截止时间。在此情况下，响应谈判供应商的所有权利和义务以及响应谈判供应商的受制约的截止时间，均以延长后新的谈判</w:t>
      </w:r>
      <w:r>
        <w:rPr>
          <w:rFonts w:ascii="宋体" w:hAnsi="宋体"/>
          <w:sz w:val="24"/>
        </w:rPr>
        <w:t>响应</w:t>
      </w:r>
      <w:r>
        <w:rPr>
          <w:rFonts w:hint="eastAsia" w:ascii="宋体" w:hAnsi="宋体"/>
          <w:sz w:val="24"/>
        </w:rPr>
        <w:t>截止时间为准。</w:t>
      </w:r>
    </w:p>
    <w:p w14:paraId="42284007">
      <w:pPr>
        <w:spacing w:line="360" w:lineRule="auto"/>
        <w:rPr>
          <w:rFonts w:ascii="宋体" w:hAnsi="宋体"/>
          <w:b/>
          <w:sz w:val="24"/>
        </w:rPr>
      </w:pPr>
      <w:r>
        <w:rPr>
          <w:rFonts w:hint="eastAsia" w:ascii="宋体" w:hAnsi="宋体"/>
          <w:b/>
          <w:sz w:val="24"/>
        </w:rPr>
        <w:t>2</w:t>
      </w:r>
      <w:r>
        <w:rPr>
          <w:rFonts w:ascii="宋体" w:hAnsi="宋体"/>
          <w:b/>
          <w:sz w:val="24"/>
        </w:rPr>
        <w:t>4</w:t>
      </w:r>
      <w:r>
        <w:rPr>
          <w:rFonts w:hint="eastAsia" w:ascii="宋体" w:hAnsi="宋体"/>
          <w:b/>
          <w:sz w:val="24"/>
        </w:rPr>
        <w:t>.谈判响应文件的修改与撤回</w:t>
      </w:r>
    </w:p>
    <w:p w14:paraId="1D2D1467">
      <w:pPr>
        <w:spacing w:line="360" w:lineRule="auto"/>
        <w:rPr>
          <w:rFonts w:ascii="宋体" w:hAnsi="宋体"/>
          <w:sz w:val="24"/>
        </w:rPr>
      </w:pPr>
      <w:r>
        <w:rPr>
          <w:rFonts w:asciiTheme="minorEastAsia" w:hAnsiTheme="minorEastAsia" w:eastAsiaTheme="minorEastAsia"/>
          <w:sz w:val="24"/>
        </w:rPr>
        <w:t>24.1</w:t>
      </w:r>
      <w:r>
        <w:rPr>
          <w:rFonts w:hint="eastAsia" w:cs="宋体" w:asciiTheme="minorEastAsia" w:hAnsiTheme="minorEastAsia" w:eastAsiaTheme="minorEastAsia"/>
          <w:sz w:val="24"/>
        </w:rPr>
        <w:t xml:space="preserve">响应谈判供应商应当在谈判响应截止时间前完成谈判响应文件的提交，并可以补充、修改或者撤回谈判响应文件。补充或者修改谈判响应文件的，应当先行撤回原文件，补充、修改后重新上传提交。谈判响应截止时间前未完成提交的，视为撤回谈判响应文件。响应截止时间后提交的谈判响应文件，“政采云”平台将无法提交。  </w:t>
      </w:r>
    </w:p>
    <w:p w14:paraId="65746E4F">
      <w:pPr>
        <w:autoSpaceDE w:val="0"/>
        <w:autoSpaceDN w:val="0"/>
        <w:adjustRightInd w:val="0"/>
        <w:spacing w:before="60" w:after="60"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24.2</w:t>
      </w:r>
      <w:r>
        <w:rPr>
          <w:rFonts w:hint="eastAsia" w:cs="宋体" w:asciiTheme="minorEastAsia" w:hAnsiTheme="minorEastAsia" w:eastAsiaTheme="minorEastAsia"/>
          <w:sz w:val="24"/>
        </w:rPr>
        <w:t>在谈判</w:t>
      </w:r>
      <w:r>
        <w:rPr>
          <w:rFonts w:cs="宋体" w:asciiTheme="minorEastAsia" w:hAnsiTheme="minorEastAsia" w:eastAsiaTheme="minorEastAsia"/>
          <w:sz w:val="24"/>
        </w:rPr>
        <w:t>响应</w:t>
      </w:r>
      <w:r>
        <w:rPr>
          <w:rFonts w:hint="eastAsia" w:cs="宋体" w:asciiTheme="minorEastAsia" w:hAnsiTheme="minorEastAsia" w:eastAsiaTheme="minorEastAsia"/>
          <w:sz w:val="24"/>
        </w:rPr>
        <w:t>截止时间前，除响应谈判供应商补充、修改或者撤回谈判响应文件外，任何单位和个人不得解密或提取谈判响应文件。</w:t>
      </w:r>
    </w:p>
    <w:p w14:paraId="3EB8C40F">
      <w:pPr>
        <w:autoSpaceDE w:val="0"/>
        <w:autoSpaceDN w:val="0"/>
        <w:adjustRightInd w:val="0"/>
        <w:spacing w:before="60" w:after="60"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24.3</w:t>
      </w:r>
      <w:r>
        <w:rPr>
          <w:rFonts w:hint="eastAsia" w:cs="宋体" w:asciiTheme="minorEastAsia" w:hAnsiTheme="minorEastAsia" w:eastAsiaTheme="minorEastAsia"/>
          <w:sz w:val="24"/>
        </w:rPr>
        <w:t>在谈判</w:t>
      </w:r>
      <w:r>
        <w:rPr>
          <w:rFonts w:cs="宋体" w:asciiTheme="minorEastAsia" w:hAnsiTheme="minorEastAsia" w:eastAsiaTheme="minorEastAsia"/>
          <w:sz w:val="24"/>
        </w:rPr>
        <w:t>响应</w:t>
      </w:r>
      <w:r>
        <w:rPr>
          <w:rFonts w:hint="eastAsia" w:cs="宋体" w:asciiTheme="minorEastAsia" w:hAnsiTheme="minorEastAsia" w:eastAsiaTheme="minorEastAsia"/>
          <w:sz w:val="24"/>
        </w:rPr>
        <w:t>截止时间止提交电子版谈判响应文件的响应谈判供应商不足3家时，电子版谈判响应文件由代理机构在“政采云”平台操作退回，除此之外采购人和采购代理机构对已提交的谈判响应文件概不退回。</w:t>
      </w:r>
    </w:p>
    <w:p w14:paraId="51465AD9">
      <w:pPr>
        <w:spacing w:line="360" w:lineRule="auto"/>
        <w:rPr>
          <w:rFonts w:ascii="宋体" w:hAnsi="宋体"/>
          <w:sz w:val="24"/>
        </w:rPr>
      </w:pPr>
      <w:r>
        <w:rPr>
          <w:rFonts w:hint="eastAsia" w:ascii="宋体" w:hAnsi="宋体"/>
          <w:sz w:val="24"/>
        </w:rPr>
        <w:t>2</w:t>
      </w:r>
      <w:r>
        <w:rPr>
          <w:rFonts w:ascii="宋体" w:hAnsi="宋体"/>
          <w:sz w:val="24"/>
        </w:rPr>
        <w:t>4</w:t>
      </w:r>
      <w:r>
        <w:rPr>
          <w:rFonts w:hint="eastAsia" w:ascii="宋体" w:hAnsi="宋体"/>
          <w:sz w:val="24"/>
        </w:rPr>
        <w:t>.4在本须知第</w:t>
      </w:r>
      <w:r>
        <w:rPr>
          <w:rFonts w:ascii="宋体" w:hAnsi="宋体"/>
          <w:sz w:val="24"/>
        </w:rPr>
        <w:t>19</w:t>
      </w:r>
      <w:r>
        <w:rPr>
          <w:rFonts w:hint="eastAsia" w:ascii="宋体" w:hAnsi="宋体"/>
          <w:sz w:val="24"/>
        </w:rPr>
        <w:t>条规定的谈胖响应截止期至响应有效期终止日之间，响应谈判供应商不能撤回谈判响应文件。</w:t>
      </w:r>
    </w:p>
    <w:p w14:paraId="13182A26">
      <w:pPr>
        <w:spacing w:line="360" w:lineRule="auto"/>
        <w:jc w:val="center"/>
        <w:outlineLvl w:val="1"/>
        <w:rPr>
          <w:rFonts w:ascii="宋体" w:hAnsi="宋体"/>
          <w:b/>
          <w:bCs/>
          <w:sz w:val="32"/>
          <w:szCs w:val="32"/>
        </w:rPr>
      </w:pPr>
      <w:bookmarkStart w:id="25" w:name="_Toc103723522"/>
      <w:r>
        <w:rPr>
          <w:rFonts w:hint="eastAsia" w:ascii="宋体" w:hAnsi="宋体"/>
          <w:b/>
          <w:bCs/>
          <w:sz w:val="32"/>
          <w:szCs w:val="32"/>
        </w:rPr>
        <w:t>六、</w:t>
      </w:r>
      <w:bookmarkEnd w:id="25"/>
      <w:r>
        <w:rPr>
          <w:rFonts w:hint="eastAsia" w:ascii="宋体" w:hAnsi="宋体"/>
          <w:b/>
          <w:bCs/>
          <w:sz w:val="32"/>
          <w:szCs w:val="32"/>
        </w:rPr>
        <w:t>谈判</w:t>
      </w:r>
    </w:p>
    <w:p w14:paraId="2115BC30">
      <w:pPr>
        <w:spacing w:line="360" w:lineRule="auto"/>
        <w:rPr>
          <w:rFonts w:ascii="宋体" w:hAnsi="宋体"/>
          <w:b/>
          <w:bCs/>
          <w:sz w:val="24"/>
        </w:rPr>
      </w:pPr>
      <w:r>
        <w:rPr>
          <w:rFonts w:ascii="宋体" w:hAnsi="宋体"/>
          <w:b/>
          <w:bCs/>
          <w:sz w:val="24"/>
        </w:rPr>
        <w:t>25.</w:t>
      </w:r>
      <w:r>
        <w:rPr>
          <w:rFonts w:hint="eastAsia" w:ascii="宋体" w:hAnsi="宋体"/>
          <w:b/>
          <w:bCs/>
          <w:sz w:val="24"/>
        </w:rPr>
        <w:t>谈判时间和地点</w:t>
      </w:r>
    </w:p>
    <w:p w14:paraId="59E142BF">
      <w:pPr>
        <w:spacing w:line="360" w:lineRule="auto"/>
        <w:ind w:firstLine="480" w:firstLineChars="200"/>
        <w:rPr>
          <w:sz w:val="24"/>
        </w:rPr>
      </w:pPr>
      <w:r>
        <w:rPr>
          <w:rFonts w:hint="eastAsia" w:ascii="宋体" w:hAnsi="宋体"/>
          <w:sz w:val="24"/>
        </w:rPr>
        <w:t>采购机构将于本须知前附表规定的开标时间和地点组织开标，响应</w:t>
      </w:r>
      <w:r>
        <w:rPr>
          <w:rFonts w:ascii="宋体" w:hAnsi="宋体"/>
          <w:sz w:val="24"/>
        </w:rPr>
        <w:t>谈判供应商</w:t>
      </w:r>
      <w:r>
        <w:rPr>
          <w:rFonts w:hint="eastAsia" w:ascii="宋体" w:hAnsi="宋体"/>
          <w:sz w:val="24"/>
        </w:rPr>
        <w:t>通过“政采云开标</w:t>
      </w:r>
      <w:r>
        <w:rPr>
          <w:rFonts w:ascii="宋体" w:hAnsi="宋体"/>
          <w:sz w:val="24"/>
        </w:rPr>
        <w:t>大厅</w:t>
      </w:r>
      <w:r>
        <w:rPr>
          <w:rFonts w:hint="eastAsia" w:ascii="宋体" w:hAnsi="宋体"/>
          <w:sz w:val="24"/>
        </w:rPr>
        <w:t>”线上参加开标会，所有响应谈判</w:t>
      </w:r>
      <w:r>
        <w:rPr>
          <w:rFonts w:ascii="宋体" w:hAnsi="宋体"/>
          <w:sz w:val="24"/>
        </w:rPr>
        <w:t>供应商</w:t>
      </w:r>
      <w:r>
        <w:rPr>
          <w:rFonts w:hint="eastAsia" w:ascii="宋体" w:hAnsi="宋体"/>
          <w:sz w:val="24"/>
        </w:rPr>
        <w:t>均应当准时参加</w:t>
      </w:r>
      <w:r>
        <w:rPr>
          <w:rFonts w:hint="eastAsia"/>
          <w:sz w:val="24"/>
        </w:rPr>
        <w:t>。</w:t>
      </w:r>
    </w:p>
    <w:p w14:paraId="31CA73E7">
      <w:pPr>
        <w:spacing w:line="360" w:lineRule="auto"/>
        <w:rPr>
          <w:b/>
          <w:sz w:val="24"/>
        </w:rPr>
      </w:pPr>
      <w:r>
        <w:rPr>
          <w:b/>
          <w:sz w:val="24"/>
        </w:rPr>
        <w:t>26.</w:t>
      </w:r>
      <w:r>
        <w:rPr>
          <w:rFonts w:hint="eastAsia"/>
          <w:b/>
          <w:sz w:val="24"/>
        </w:rPr>
        <w:t>谈判程序</w:t>
      </w:r>
    </w:p>
    <w:p w14:paraId="3ECD2894">
      <w:pPr>
        <w:autoSpaceDE w:val="0"/>
        <w:autoSpaceDN w:val="0"/>
        <w:adjustRightInd w:val="0"/>
        <w:spacing w:before="60" w:after="60" w:line="360" w:lineRule="auto"/>
        <w:rPr>
          <w:rFonts w:cs="宋体"/>
          <w:sz w:val="24"/>
        </w:rPr>
      </w:pPr>
      <w:r>
        <w:rPr>
          <w:rFonts w:hint="eastAsia" w:cs="宋体"/>
          <w:sz w:val="24"/>
        </w:rPr>
        <w:t>2</w:t>
      </w:r>
      <w:r>
        <w:rPr>
          <w:rFonts w:cs="宋体"/>
          <w:sz w:val="24"/>
        </w:rPr>
        <w:t>6.1.</w:t>
      </w:r>
      <w:r>
        <w:rPr>
          <w:rFonts w:hint="eastAsia" w:cs="宋体"/>
          <w:sz w:val="24"/>
        </w:rPr>
        <w:t>解密电子谈判响应文件。“政采云”平台在开标时间自动提取所有谈判响应文件。响应谈判供应商须使用数字</w:t>
      </w:r>
      <w:r>
        <w:rPr>
          <w:rFonts w:cs="宋体"/>
          <w:sz w:val="24"/>
        </w:rPr>
        <w:t>证书</w:t>
      </w:r>
      <w:r>
        <w:rPr>
          <w:rFonts w:hint="eastAsia" w:cs="宋体"/>
          <w:sz w:val="24"/>
        </w:rPr>
        <w:t>按照前附表</w:t>
      </w:r>
      <w:r>
        <w:rPr>
          <w:rFonts w:cs="宋体"/>
          <w:sz w:val="24"/>
        </w:rPr>
        <w:t>规定的时间</w:t>
      </w:r>
      <w:r>
        <w:rPr>
          <w:rFonts w:hint="eastAsia" w:cs="宋体"/>
          <w:sz w:val="24"/>
        </w:rPr>
        <w:t>在</w:t>
      </w:r>
      <w:r>
        <w:rPr>
          <w:rFonts w:cs="宋体"/>
          <w:sz w:val="24"/>
        </w:rPr>
        <w:t>线上</w:t>
      </w:r>
      <w:r>
        <w:rPr>
          <w:rFonts w:hint="eastAsia" w:cs="宋体"/>
          <w:sz w:val="24"/>
        </w:rPr>
        <w:t>对谈判响应文件解密并</w:t>
      </w:r>
      <w:r>
        <w:rPr>
          <w:rFonts w:cs="宋体"/>
          <w:sz w:val="24"/>
        </w:rPr>
        <w:t>确认</w:t>
      </w:r>
      <w:r>
        <w:rPr>
          <w:rFonts w:hint="eastAsia" w:cs="宋体"/>
          <w:sz w:val="24"/>
        </w:rPr>
        <w:t xml:space="preserve">。   </w:t>
      </w:r>
      <w:r>
        <w:rPr>
          <w:rFonts w:cs="宋体"/>
          <w:sz w:val="24"/>
        </w:rPr>
        <w:t>26.2.</w:t>
      </w:r>
      <w:r>
        <w:rPr>
          <w:rFonts w:hint="eastAsia" w:cs="宋体"/>
          <w:sz w:val="24"/>
        </w:rPr>
        <w:t>响应谈判供应商对谈判过程有异议的，应当在线上提出。采购人、采购代理机构对响应谈判</w:t>
      </w:r>
      <w:r>
        <w:rPr>
          <w:rFonts w:cs="宋体"/>
          <w:sz w:val="24"/>
        </w:rPr>
        <w:t>供应商</w:t>
      </w:r>
      <w:r>
        <w:rPr>
          <w:rFonts w:hint="eastAsia" w:cs="宋体"/>
          <w:sz w:val="24"/>
        </w:rPr>
        <w:t>提出的异议应当及时处理。</w:t>
      </w:r>
    </w:p>
    <w:p w14:paraId="5F9A906D">
      <w:pPr>
        <w:autoSpaceDE w:val="0"/>
        <w:autoSpaceDN w:val="0"/>
        <w:adjustRightInd w:val="0"/>
        <w:spacing w:before="60" w:after="60" w:line="360" w:lineRule="auto"/>
        <w:rPr>
          <w:rFonts w:cs="宋体"/>
          <w:sz w:val="24"/>
        </w:rPr>
      </w:pPr>
      <w:r>
        <w:rPr>
          <w:rFonts w:cs="宋体"/>
          <w:sz w:val="24"/>
        </w:rPr>
        <w:t>26.3.</w:t>
      </w:r>
      <w:r>
        <w:rPr>
          <w:rFonts w:hint="eastAsia" w:cs="宋体"/>
          <w:sz w:val="24"/>
        </w:rPr>
        <w:t>响应谈判</w:t>
      </w:r>
      <w:r>
        <w:rPr>
          <w:rFonts w:cs="宋体"/>
          <w:sz w:val="24"/>
        </w:rPr>
        <w:t>供应商</w:t>
      </w:r>
      <w:r>
        <w:rPr>
          <w:rFonts w:hint="eastAsia" w:cs="宋体"/>
          <w:sz w:val="24"/>
        </w:rPr>
        <w:t>因自身</w:t>
      </w:r>
      <w:r>
        <w:rPr>
          <w:rFonts w:cs="宋体"/>
          <w:sz w:val="24"/>
        </w:rPr>
        <w:t>原因</w:t>
      </w:r>
      <w:r>
        <w:rPr>
          <w:rFonts w:hint="eastAsia" w:cs="宋体"/>
          <w:sz w:val="24"/>
        </w:rPr>
        <w:t>未按时解密的一切后果由响应谈判</w:t>
      </w:r>
      <w:r>
        <w:rPr>
          <w:rFonts w:cs="宋体"/>
          <w:sz w:val="24"/>
        </w:rPr>
        <w:t>供应商自行</w:t>
      </w:r>
      <w:r>
        <w:rPr>
          <w:rFonts w:hint="eastAsia" w:cs="宋体"/>
          <w:sz w:val="24"/>
        </w:rPr>
        <w:t>承担。如遇“政采云”平台电子化开标或评审程序调整的，按调整后执行</w:t>
      </w:r>
      <w:r>
        <w:rPr>
          <w:rFonts w:hint="eastAsia" w:ascii="宋体" w:hAnsi="宋体"/>
          <w:sz w:val="24"/>
        </w:rPr>
        <w:t>。</w:t>
      </w:r>
    </w:p>
    <w:p w14:paraId="47A39D8F">
      <w:pPr>
        <w:autoSpaceDE w:val="0"/>
        <w:autoSpaceDN w:val="0"/>
        <w:adjustRightInd w:val="0"/>
        <w:spacing w:before="60" w:after="60" w:line="360" w:lineRule="auto"/>
        <w:rPr>
          <w:rFonts w:cs="宋体"/>
          <w:sz w:val="24"/>
        </w:rPr>
      </w:pPr>
      <w:r>
        <w:rPr>
          <w:rFonts w:cs="宋体"/>
          <w:sz w:val="24"/>
        </w:rPr>
        <w:t>26.4</w:t>
      </w:r>
      <w:r>
        <w:rPr>
          <w:rFonts w:hint="eastAsia" w:cs="宋体"/>
          <w:sz w:val="24"/>
        </w:rPr>
        <w:t>采购代理机构将按照谈判文件规定的开标时间和地点组织开标活动、开启谈判响应文件，所有响应谈判供应商均应当准时参加。</w:t>
      </w:r>
    </w:p>
    <w:p w14:paraId="6AE0495E">
      <w:pPr>
        <w:autoSpaceDE w:val="0"/>
        <w:autoSpaceDN w:val="0"/>
        <w:adjustRightInd w:val="0"/>
        <w:spacing w:before="60" w:after="60" w:line="360" w:lineRule="auto"/>
        <w:rPr>
          <w:rFonts w:cs="宋体"/>
          <w:sz w:val="24"/>
        </w:rPr>
      </w:pPr>
      <w:r>
        <w:rPr>
          <w:rFonts w:hint="eastAsia" w:cs="宋体"/>
          <w:sz w:val="24"/>
        </w:rPr>
        <w:t>26.5谈判</w:t>
      </w:r>
      <w:r>
        <w:rPr>
          <w:rFonts w:cs="宋体"/>
          <w:sz w:val="24"/>
        </w:rPr>
        <w:t>小组将在</w:t>
      </w:r>
      <w:r>
        <w:rPr>
          <w:rFonts w:hint="eastAsia" w:cs="宋体"/>
          <w:sz w:val="24"/>
        </w:rPr>
        <w:t>符合性评审后，</w:t>
      </w:r>
      <w:r>
        <w:rPr>
          <w:rFonts w:cs="宋体"/>
          <w:sz w:val="24"/>
        </w:rPr>
        <w:t>通过“</w:t>
      </w:r>
      <w:r>
        <w:rPr>
          <w:rFonts w:hint="eastAsia" w:cs="宋体"/>
          <w:sz w:val="24"/>
        </w:rPr>
        <w:t>政采云</w:t>
      </w:r>
      <w:r>
        <w:rPr>
          <w:rFonts w:cs="宋体"/>
          <w:sz w:val="24"/>
        </w:rPr>
        <w:t>”对</w:t>
      </w:r>
      <w:r>
        <w:rPr>
          <w:rFonts w:hint="eastAsia" w:cs="宋体"/>
          <w:sz w:val="24"/>
        </w:rPr>
        <w:t>合格</w:t>
      </w:r>
      <w:r>
        <w:rPr>
          <w:rFonts w:cs="宋体"/>
          <w:sz w:val="24"/>
        </w:rPr>
        <w:t>的响应谈判供应商发起谈判邀请，响应谈判供应商</w:t>
      </w:r>
      <w:r>
        <w:rPr>
          <w:rFonts w:hint="eastAsia" w:cs="宋体"/>
          <w:sz w:val="24"/>
        </w:rPr>
        <w:t>通过</w:t>
      </w:r>
      <w:r>
        <w:rPr>
          <w:rFonts w:cs="宋体"/>
          <w:sz w:val="24"/>
        </w:rPr>
        <w:t>“</w:t>
      </w:r>
      <w:r>
        <w:rPr>
          <w:rFonts w:hint="eastAsia" w:cs="宋体"/>
          <w:sz w:val="24"/>
        </w:rPr>
        <w:t>政采</w:t>
      </w:r>
      <w:r>
        <w:rPr>
          <w:rFonts w:cs="宋体"/>
          <w:sz w:val="24"/>
        </w:rPr>
        <w:t>云”</w:t>
      </w:r>
      <w:r>
        <w:rPr>
          <w:rFonts w:hint="eastAsia" w:cs="宋体"/>
          <w:sz w:val="24"/>
        </w:rPr>
        <w:t>在</w:t>
      </w:r>
      <w:r>
        <w:rPr>
          <w:rFonts w:cs="宋体"/>
          <w:sz w:val="24"/>
        </w:rPr>
        <w:t>线与谈判小组进行谈判。</w:t>
      </w:r>
      <w:r>
        <w:rPr>
          <w:rFonts w:hint="eastAsia" w:ascii="宋体" w:hAnsi="宋体"/>
          <w:sz w:val="24"/>
        </w:rPr>
        <w:t>所有参加谈判的供应商须在规定时间内完成“政采云平台”最终报价，并同时</w:t>
      </w:r>
      <w:r>
        <w:rPr>
          <w:rFonts w:ascii="宋体" w:hAnsi="宋体"/>
          <w:sz w:val="24"/>
        </w:rPr>
        <w:t>上传</w:t>
      </w:r>
      <w:r>
        <w:rPr>
          <w:rFonts w:hint="eastAsia" w:cs="宋体"/>
          <w:sz w:val="24"/>
        </w:rPr>
        <w:t>与最终报价相符的《响应报价明细表》，否则视为响应无效。</w:t>
      </w:r>
    </w:p>
    <w:p w14:paraId="396B93DC">
      <w:pPr>
        <w:autoSpaceDE w:val="0"/>
        <w:autoSpaceDN w:val="0"/>
        <w:adjustRightInd w:val="0"/>
        <w:spacing w:before="60" w:after="60" w:line="360" w:lineRule="auto"/>
        <w:rPr>
          <w:rFonts w:ascii="宋体" w:hAnsi="宋体"/>
          <w:sz w:val="24"/>
        </w:rPr>
      </w:pPr>
      <w:r>
        <w:rPr>
          <w:rFonts w:ascii="宋体" w:hAnsi="宋体"/>
          <w:sz w:val="24"/>
        </w:rPr>
        <w:t>26.6</w:t>
      </w:r>
      <w:r>
        <w:rPr>
          <w:rFonts w:hint="eastAsia" w:ascii="宋体" w:hAnsi="宋体"/>
          <w:sz w:val="24"/>
        </w:rPr>
        <w:t>在线谈判时间和提交最终报价的时间见本须知前附表。</w:t>
      </w:r>
    </w:p>
    <w:p w14:paraId="6F142A5F">
      <w:pPr>
        <w:autoSpaceDE w:val="0"/>
        <w:autoSpaceDN w:val="0"/>
        <w:adjustRightInd w:val="0"/>
        <w:spacing w:before="60" w:after="60" w:line="360" w:lineRule="auto"/>
        <w:rPr>
          <w:rFonts w:cs="宋体"/>
          <w:sz w:val="24"/>
        </w:rPr>
      </w:pPr>
    </w:p>
    <w:p w14:paraId="73AA7B57">
      <w:pPr>
        <w:spacing w:line="360" w:lineRule="auto"/>
        <w:jc w:val="center"/>
        <w:outlineLvl w:val="1"/>
        <w:rPr>
          <w:b/>
          <w:sz w:val="32"/>
          <w:szCs w:val="32"/>
        </w:rPr>
      </w:pPr>
      <w:bookmarkStart w:id="26" w:name="_Toc103723523"/>
      <w:r>
        <w:rPr>
          <w:rFonts w:hint="eastAsia" w:ascii="宋体" w:hAnsi="宋体"/>
          <w:b/>
          <w:sz w:val="32"/>
          <w:szCs w:val="32"/>
        </w:rPr>
        <w:t>七、评</w:t>
      </w:r>
      <w:bookmarkEnd w:id="26"/>
      <w:r>
        <w:rPr>
          <w:rFonts w:hint="eastAsia" w:ascii="宋体" w:hAnsi="宋体"/>
          <w:b/>
          <w:sz w:val="32"/>
          <w:szCs w:val="32"/>
        </w:rPr>
        <w:t>审</w:t>
      </w:r>
    </w:p>
    <w:p w14:paraId="6E4AAA1F">
      <w:pPr>
        <w:spacing w:line="360" w:lineRule="auto"/>
        <w:rPr>
          <w:rFonts w:ascii="宋体" w:hAnsi="宋体"/>
          <w:b/>
          <w:bCs/>
          <w:sz w:val="24"/>
        </w:rPr>
      </w:pPr>
      <w:r>
        <w:rPr>
          <w:rFonts w:ascii="宋体" w:hAnsi="宋体"/>
          <w:b/>
          <w:bCs/>
          <w:sz w:val="24"/>
        </w:rPr>
        <w:t>27.</w:t>
      </w:r>
      <w:r>
        <w:rPr>
          <w:rFonts w:hint="eastAsia" w:ascii="宋体" w:hAnsi="宋体"/>
          <w:b/>
          <w:sz w:val="24"/>
        </w:rPr>
        <w:t>谈判</w:t>
      </w:r>
      <w:r>
        <w:rPr>
          <w:rFonts w:ascii="宋体" w:hAnsi="宋体"/>
          <w:b/>
          <w:sz w:val="24"/>
        </w:rPr>
        <w:t>小组</w:t>
      </w:r>
    </w:p>
    <w:p w14:paraId="416D484B">
      <w:pPr>
        <w:pStyle w:val="21"/>
        <w:spacing w:line="360" w:lineRule="auto"/>
        <w:rPr>
          <w:rFonts w:hint="default" w:hAnsi="宋体"/>
          <w:sz w:val="24"/>
          <w:szCs w:val="24"/>
        </w:rPr>
      </w:pPr>
      <w:r>
        <w:rPr>
          <w:rFonts w:hint="default" w:hAnsi="宋体"/>
          <w:sz w:val="24"/>
          <w:szCs w:val="24"/>
        </w:rPr>
        <w:t>27.</w:t>
      </w:r>
      <w:r>
        <w:rPr>
          <w:rFonts w:hAnsi="宋体"/>
          <w:sz w:val="24"/>
          <w:szCs w:val="24"/>
        </w:rPr>
        <w:t>1采购机构将依法组建谈判小组。谈判小组成员由具有高级职称或具有同等专业水平的相关领域专家组成。与采购项目有直接利害关系或与响应谈判供应商有任何利害关系的专家，不得进入本项目的谈判小组。谈判小组成员名单在成交结果确定前应当保密。</w:t>
      </w:r>
    </w:p>
    <w:p w14:paraId="187B47C8">
      <w:pPr>
        <w:pStyle w:val="21"/>
        <w:spacing w:line="360" w:lineRule="auto"/>
        <w:rPr>
          <w:rFonts w:hint="default" w:hAnsi="宋体"/>
          <w:sz w:val="24"/>
          <w:szCs w:val="24"/>
        </w:rPr>
      </w:pPr>
      <w:r>
        <w:rPr>
          <w:rFonts w:hint="default" w:hAnsi="宋体"/>
          <w:sz w:val="24"/>
          <w:szCs w:val="24"/>
        </w:rPr>
        <w:t>27.2</w:t>
      </w:r>
      <w:r>
        <w:rPr>
          <w:rFonts w:hAnsi="宋体"/>
          <w:sz w:val="24"/>
          <w:szCs w:val="24"/>
        </w:rPr>
        <w:t>本项目评谈判小组成员人数及确定方式见本须知前附表。</w:t>
      </w:r>
    </w:p>
    <w:p w14:paraId="4C7D71A9">
      <w:pPr>
        <w:pStyle w:val="21"/>
        <w:spacing w:line="360" w:lineRule="auto"/>
        <w:rPr>
          <w:rFonts w:hint="default" w:hAnsi="宋体"/>
          <w:sz w:val="24"/>
          <w:szCs w:val="24"/>
        </w:rPr>
      </w:pPr>
      <w:r>
        <w:rPr>
          <w:rFonts w:hint="default" w:hAnsi="宋体"/>
          <w:sz w:val="24"/>
          <w:szCs w:val="24"/>
        </w:rPr>
        <w:t>27.3</w:t>
      </w:r>
      <w:r>
        <w:rPr>
          <w:rFonts w:hAnsi="宋体"/>
          <w:sz w:val="24"/>
          <w:szCs w:val="24"/>
        </w:rPr>
        <w:t>谈判小组成员有下列情形之一的，应当回避：</w:t>
      </w:r>
    </w:p>
    <w:p w14:paraId="037E4E78">
      <w:pPr>
        <w:pStyle w:val="21"/>
        <w:spacing w:line="360" w:lineRule="auto"/>
        <w:rPr>
          <w:rFonts w:hint="default" w:hAnsi="宋体"/>
          <w:sz w:val="24"/>
          <w:szCs w:val="24"/>
        </w:rPr>
      </w:pPr>
      <w:r>
        <w:rPr>
          <w:rFonts w:hint="default" w:hAnsi="宋体"/>
          <w:sz w:val="24"/>
          <w:szCs w:val="24"/>
        </w:rPr>
        <w:t>27</w:t>
      </w:r>
      <w:r>
        <w:rPr>
          <w:rFonts w:hAnsi="宋体"/>
          <w:sz w:val="24"/>
          <w:szCs w:val="24"/>
        </w:rPr>
        <w:t>.3.1采购人或响应谈判供应商的主要负责人的近亲属；</w:t>
      </w:r>
    </w:p>
    <w:p w14:paraId="1F94FE8E">
      <w:pPr>
        <w:pStyle w:val="21"/>
        <w:spacing w:line="360" w:lineRule="auto"/>
        <w:rPr>
          <w:rFonts w:hint="default" w:hAnsi="宋体"/>
          <w:sz w:val="24"/>
          <w:szCs w:val="24"/>
        </w:rPr>
      </w:pPr>
      <w:r>
        <w:rPr>
          <w:rFonts w:hint="default" w:hAnsi="宋体"/>
          <w:sz w:val="24"/>
          <w:szCs w:val="24"/>
        </w:rPr>
        <w:t>27</w:t>
      </w:r>
      <w:r>
        <w:rPr>
          <w:rFonts w:hAnsi="宋体"/>
          <w:sz w:val="24"/>
          <w:szCs w:val="24"/>
        </w:rPr>
        <w:t>.3.2项目主管部门或者行政监督部门的人员；</w:t>
      </w:r>
    </w:p>
    <w:p w14:paraId="31F64077">
      <w:pPr>
        <w:pStyle w:val="21"/>
        <w:spacing w:line="360" w:lineRule="auto"/>
        <w:rPr>
          <w:rFonts w:hint="default" w:hAnsi="宋体"/>
          <w:sz w:val="24"/>
          <w:szCs w:val="24"/>
        </w:rPr>
      </w:pPr>
      <w:r>
        <w:rPr>
          <w:rFonts w:hint="default" w:hAnsi="宋体"/>
          <w:sz w:val="24"/>
          <w:szCs w:val="24"/>
        </w:rPr>
        <w:t>27</w:t>
      </w:r>
      <w:r>
        <w:rPr>
          <w:rFonts w:hAnsi="宋体"/>
          <w:sz w:val="24"/>
          <w:szCs w:val="24"/>
        </w:rPr>
        <w:t>.3.3与响应谈判供应商有经济利益关系，可能影响对谈判公正评审的；</w:t>
      </w:r>
    </w:p>
    <w:p w14:paraId="4F13D585">
      <w:pPr>
        <w:pStyle w:val="21"/>
        <w:spacing w:line="360" w:lineRule="auto"/>
        <w:rPr>
          <w:rFonts w:hint="default" w:hAnsi="宋体"/>
          <w:sz w:val="24"/>
          <w:szCs w:val="24"/>
        </w:rPr>
      </w:pPr>
      <w:r>
        <w:rPr>
          <w:rFonts w:hint="default" w:hAnsi="宋体"/>
          <w:sz w:val="24"/>
          <w:szCs w:val="24"/>
        </w:rPr>
        <w:t>27</w:t>
      </w:r>
      <w:r>
        <w:rPr>
          <w:rFonts w:hAnsi="宋体"/>
          <w:sz w:val="24"/>
          <w:szCs w:val="24"/>
        </w:rPr>
        <w:t>.3.4曾因在招标、评审以及其他与招标投标有关活动中从事违法行为而受过行政处罚或刑事处罚的。</w:t>
      </w:r>
    </w:p>
    <w:p w14:paraId="46F32350">
      <w:pPr>
        <w:pStyle w:val="21"/>
        <w:spacing w:line="360" w:lineRule="auto"/>
        <w:rPr>
          <w:rFonts w:hint="default" w:hAnsi="宋体"/>
          <w:b/>
          <w:sz w:val="24"/>
          <w:szCs w:val="24"/>
        </w:rPr>
      </w:pPr>
      <w:r>
        <w:rPr>
          <w:rFonts w:hint="default" w:hAnsi="宋体"/>
          <w:b/>
          <w:sz w:val="24"/>
          <w:szCs w:val="24"/>
        </w:rPr>
        <w:t>28</w:t>
      </w:r>
      <w:r>
        <w:rPr>
          <w:rFonts w:hAnsi="宋体"/>
          <w:b/>
          <w:sz w:val="24"/>
          <w:szCs w:val="24"/>
        </w:rPr>
        <w:t>.谈判原则</w:t>
      </w:r>
    </w:p>
    <w:p w14:paraId="789E7F4A">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28.1</w:t>
      </w:r>
      <w:r>
        <w:rPr>
          <w:rFonts w:hint="eastAsia" w:cs="宋体" w:asciiTheme="minorEastAsia" w:hAnsiTheme="minorEastAsia" w:eastAsiaTheme="minorEastAsia"/>
          <w:sz w:val="24"/>
        </w:rPr>
        <w:t>谈判小组评审时必须公平、公正、客观，不带任何倾向性和启发性；不得向外界透露任何与评审有关的内容；任何单位和个人不得干扰、影响评审的正常进行；谈判小组及有关工作人员不得私下与响应谈判供应商接触，不得收受利害关系人的财物或者其他好处。</w:t>
      </w:r>
    </w:p>
    <w:p w14:paraId="738621CE">
      <w:pPr>
        <w:pStyle w:val="21"/>
        <w:spacing w:line="360" w:lineRule="auto"/>
        <w:rPr>
          <w:rFonts w:hint="default" w:hAnsi="宋体"/>
          <w:b/>
          <w:sz w:val="24"/>
          <w:szCs w:val="24"/>
        </w:rPr>
      </w:pPr>
      <w:r>
        <w:rPr>
          <w:rFonts w:hint="default" w:hAnsi="宋体"/>
          <w:b/>
          <w:sz w:val="24"/>
          <w:szCs w:val="24"/>
        </w:rPr>
        <w:t>29.</w:t>
      </w:r>
      <w:r>
        <w:rPr>
          <w:rFonts w:hAnsi="宋体"/>
          <w:b/>
          <w:sz w:val="24"/>
          <w:szCs w:val="24"/>
        </w:rPr>
        <w:t>谈判</w:t>
      </w:r>
    </w:p>
    <w:p w14:paraId="7BCBD9A3">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29.1</w:t>
      </w:r>
      <w:r>
        <w:rPr>
          <w:rFonts w:hint="eastAsia" w:cs="宋体" w:asciiTheme="minorEastAsia" w:hAnsiTheme="minorEastAsia" w:eastAsiaTheme="minorEastAsia"/>
          <w:sz w:val="24"/>
        </w:rPr>
        <w:t>在评审过程中出现法律法规和谈判文件均没有明确规定的情形时，由谈判</w:t>
      </w:r>
      <w:r>
        <w:rPr>
          <w:rFonts w:cs="宋体" w:asciiTheme="minorEastAsia" w:hAnsiTheme="minorEastAsia" w:eastAsiaTheme="minorEastAsia"/>
          <w:sz w:val="24"/>
        </w:rPr>
        <w:t>小组</w:t>
      </w:r>
      <w:r>
        <w:rPr>
          <w:rFonts w:hint="eastAsia" w:cs="宋体" w:asciiTheme="minorEastAsia" w:hAnsiTheme="minorEastAsia" w:eastAsiaTheme="minorEastAsia"/>
          <w:sz w:val="24"/>
        </w:rPr>
        <w:t>现场协商解决，协商不一致的，由全体评委投票表决，以得票率二分之一以上专家的意见为准并由采购代理机构作记录。</w:t>
      </w:r>
      <w:bookmarkStart w:id="27" w:name="_28.3评标方法。本项目将按须知前附表规定的评标办法进行评标，具体评标"/>
      <w:bookmarkEnd w:id="27"/>
    </w:p>
    <w:p w14:paraId="56694184">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29.2</w:t>
      </w:r>
      <w:r>
        <w:rPr>
          <w:rFonts w:hint="eastAsia" w:cs="宋体" w:asciiTheme="minorEastAsia" w:hAnsiTheme="minorEastAsia" w:eastAsiaTheme="minorEastAsia"/>
          <w:sz w:val="24"/>
        </w:rPr>
        <w:t>采购人、采购代理机构应当采取必要措施，保证评审在严格保密（封闭式评审）的情况下进行。除采购人代表、评审现场组织人员外，采购人的其他工作人员以及与评审工作无关的人员不得进入评审现场。有关人员对评审情况以及在评审过程中获悉的国家秘密、商业秘密负有保密责任。</w:t>
      </w:r>
    </w:p>
    <w:p w14:paraId="1F03562C">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29.3</w:t>
      </w:r>
      <w:r>
        <w:rPr>
          <w:rFonts w:hint="eastAsia" w:cs="宋体" w:asciiTheme="minorEastAsia" w:hAnsiTheme="minorEastAsia" w:eastAsiaTheme="minorEastAsia"/>
          <w:sz w:val="24"/>
        </w:rPr>
        <w:t>本项目电子评审过程实行网上留痕、全程录音、录像监控，响应谈判供应商在评审过程中所进行的试图影响评审结果的不公正活动，其响应按无效处理。</w:t>
      </w:r>
    </w:p>
    <w:p w14:paraId="5E0D9B11">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29.4</w:t>
      </w:r>
      <w:r>
        <w:rPr>
          <w:rFonts w:hint="eastAsia" w:cs="宋体" w:asciiTheme="minorEastAsia" w:hAnsiTheme="minorEastAsia" w:eastAsiaTheme="minorEastAsia"/>
          <w:sz w:val="24"/>
        </w:rPr>
        <w:t>采购过程中出现以下情形，导致电子交易平台无法正常运行，或者无法保证电子交易的公平、公正和安全时，采购机构可中止电子交易活动：</w:t>
      </w:r>
    </w:p>
    <w:p w14:paraId="4B02C726">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（1）电子交易平台发生故障而无法登录访问的； </w:t>
      </w:r>
    </w:p>
    <w:p w14:paraId="449ECCD4">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（2）电子交易平台应用或数据库出现错误，不能进行正常操作的；</w:t>
      </w:r>
    </w:p>
    <w:p w14:paraId="1B24BA8F">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（3）电子交易平台发现严重安全漏洞，有潜在泄密危险的；</w:t>
      </w:r>
    </w:p>
    <w:p w14:paraId="6B15B5BF">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（4）病毒发作导致不能进行正常操作的； </w:t>
      </w:r>
    </w:p>
    <w:p w14:paraId="3AEA4A43">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w:t>
      </w:r>
      <w:r>
        <w:rPr>
          <w:rFonts w:cs="宋体" w:asciiTheme="minorEastAsia" w:hAnsiTheme="minorEastAsia" w:eastAsiaTheme="minorEastAsia"/>
          <w:sz w:val="24"/>
        </w:rPr>
        <w:t>5</w:t>
      </w:r>
      <w:r>
        <w:rPr>
          <w:rFonts w:hint="eastAsia" w:cs="宋体" w:asciiTheme="minorEastAsia" w:hAnsiTheme="minorEastAsia" w:eastAsiaTheme="minorEastAsia"/>
          <w:sz w:val="24"/>
        </w:rPr>
        <w:t>）其他无法保证电子交易的公平、公正和安全的情况。</w:t>
      </w:r>
    </w:p>
    <w:p w14:paraId="492FB924">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29.5</w:t>
      </w:r>
      <w:r>
        <w:rPr>
          <w:rFonts w:hint="eastAsia" w:cs="宋体" w:asciiTheme="minorEastAsia" w:hAnsiTheme="minorEastAsia" w:eastAsiaTheme="minorEastAsia"/>
          <w:sz w:val="24"/>
        </w:rPr>
        <w:t>出现以上情形，不影响采购公平、公正性的，采购组织机构可以待上述情形消除后</w:t>
      </w:r>
      <w:r>
        <w:rPr>
          <w:rFonts w:hint="eastAsia" w:cs="宋体" w:asciiTheme="minorEastAsia" w:hAnsiTheme="minorEastAsia" w:eastAsiaTheme="minorEastAsia"/>
          <w:spacing w:val="3"/>
          <w:kern w:val="0"/>
          <w:sz w:val="24"/>
          <w:fitText w:val="9120" w:id="-1271253760"/>
        </w:rPr>
        <w:t>继续组织电子交易活动；影响或可能影响采购公平、公正性的，经采购代理机构确</w:t>
      </w:r>
      <w:r>
        <w:rPr>
          <w:rFonts w:hint="eastAsia" w:cs="宋体" w:asciiTheme="minorEastAsia" w:hAnsiTheme="minorEastAsia" w:eastAsiaTheme="minorEastAsia"/>
          <w:spacing w:val="12"/>
          <w:kern w:val="0"/>
          <w:sz w:val="24"/>
          <w:fitText w:val="9120" w:id="-1271253760"/>
        </w:rPr>
        <w:t>认</w:t>
      </w:r>
      <w:r>
        <w:rPr>
          <w:rFonts w:hint="eastAsia" w:cs="宋体" w:asciiTheme="minorEastAsia" w:hAnsiTheme="minorEastAsia" w:eastAsiaTheme="minorEastAsia"/>
          <w:sz w:val="24"/>
        </w:rPr>
        <w:t>后，应当重新采购。采购代理机构必须对原有的资料及信息作出妥善保密处理，并报财政部门备案。</w:t>
      </w:r>
    </w:p>
    <w:p w14:paraId="46DE7AE3">
      <w:pPr>
        <w:pStyle w:val="21"/>
        <w:spacing w:line="360" w:lineRule="auto"/>
        <w:ind w:left="482" w:hanging="482"/>
        <w:rPr>
          <w:rFonts w:hint="default" w:hAnsi="宋体"/>
          <w:b/>
          <w:sz w:val="24"/>
          <w:szCs w:val="24"/>
        </w:rPr>
      </w:pPr>
      <w:r>
        <w:rPr>
          <w:rFonts w:hAnsi="宋体"/>
          <w:b/>
          <w:sz w:val="24"/>
          <w:szCs w:val="24"/>
        </w:rPr>
        <w:t>3</w:t>
      </w:r>
      <w:r>
        <w:rPr>
          <w:rFonts w:hint="default" w:hAnsi="宋体"/>
          <w:b/>
          <w:sz w:val="24"/>
          <w:szCs w:val="24"/>
        </w:rPr>
        <w:t>0</w:t>
      </w:r>
      <w:r>
        <w:rPr>
          <w:rFonts w:hAnsi="宋体"/>
          <w:b/>
          <w:sz w:val="24"/>
          <w:szCs w:val="24"/>
        </w:rPr>
        <w:t>.同一品牌产品的认定</w:t>
      </w:r>
    </w:p>
    <w:p w14:paraId="601D2404">
      <w:pPr>
        <w:pStyle w:val="21"/>
        <w:spacing w:line="360" w:lineRule="auto"/>
        <w:ind w:left="482" w:hanging="482"/>
        <w:rPr>
          <w:rFonts w:hint="default" w:hAnsi="宋体"/>
          <w:b/>
          <w:sz w:val="24"/>
          <w:szCs w:val="24"/>
        </w:rPr>
      </w:pPr>
      <w:r>
        <w:rPr>
          <w:rFonts w:hAnsi="宋体"/>
          <w:b/>
          <w:sz w:val="24"/>
          <w:szCs w:val="24"/>
        </w:rPr>
        <w:t>3</w:t>
      </w:r>
      <w:r>
        <w:rPr>
          <w:rFonts w:hint="default" w:hAnsi="宋体"/>
          <w:b/>
          <w:sz w:val="24"/>
          <w:szCs w:val="24"/>
        </w:rPr>
        <w:t>0</w:t>
      </w:r>
      <w:r>
        <w:rPr>
          <w:rFonts w:hAnsi="宋体"/>
          <w:b/>
          <w:sz w:val="24"/>
          <w:szCs w:val="24"/>
        </w:rPr>
        <w:t>.1如果有多家供应商响应同一品牌产品的，应该作为一个供应商计算。当供应商不足3家的，采购项目废标。</w:t>
      </w:r>
    </w:p>
    <w:p w14:paraId="58FB8737">
      <w:pPr>
        <w:pStyle w:val="21"/>
        <w:spacing w:line="360" w:lineRule="auto"/>
        <w:ind w:left="480" w:hanging="480"/>
        <w:rPr>
          <w:rFonts w:hint="default" w:hAnsi="宋体"/>
          <w:sz w:val="24"/>
          <w:szCs w:val="24"/>
        </w:rPr>
      </w:pPr>
      <w:r>
        <w:rPr>
          <w:rFonts w:hAnsi="宋体"/>
          <w:sz w:val="24"/>
          <w:szCs w:val="24"/>
        </w:rPr>
        <w:t>3</w:t>
      </w:r>
      <w:r>
        <w:rPr>
          <w:rFonts w:hint="default" w:hAnsi="宋体"/>
          <w:sz w:val="24"/>
          <w:szCs w:val="24"/>
        </w:rPr>
        <w:t>0</w:t>
      </w:r>
      <w:r>
        <w:rPr>
          <w:rFonts w:hAnsi="宋体"/>
          <w:sz w:val="24"/>
          <w:szCs w:val="24"/>
        </w:rPr>
        <w:t>.2采购项目（采购项目分包以每包计）采购多个产品的，以核心产品为标准计算同一品牌供应商家数。即所有核心产品中的每一项产品均报价同一品牌产品，多家供应商应当作为一个供应商计算。本项目核心产品名称详见第二章货物需求。</w:t>
      </w:r>
    </w:p>
    <w:p w14:paraId="447F3A0C">
      <w:pPr>
        <w:autoSpaceDE w:val="0"/>
        <w:autoSpaceDN w:val="0"/>
        <w:adjustRightInd w:val="0"/>
        <w:spacing w:line="360" w:lineRule="auto"/>
        <w:rPr>
          <w:rFonts w:cs="宋体" w:asciiTheme="minorEastAsia" w:hAnsiTheme="minorEastAsia" w:eastAsiaTheme="minorEastAsia"/>
          <w:b/>
          <w:bCs/>
          <w:sz w:val="24"/>
        </w:rPr>
      </w:pPr>
      <w:r>
        <w:rPr>
          <w:rFonts w:cs="宋体" w:asciiTheme="minorEastAsia" w:hAnsiTheme="minorEastAsia" w:eastAsiaTheme="minorEastAsia"/>
          <w:b/>
          <w:bCs/>
          <w:sz w:val="24"/>
        </w:rPr>
        <w:t>31.</w:t>
      </w:r>
      <w:r>
        <w:rPr>
          <w:rFonts w:hint="eastAsia" w:ascii="宋体" w:hAnsi="宋体"/>
          <w:b/>
          <w:bCs/>
          <w:sz w:val="24"/>
        </w:rPr>
        <w:t>谈判响应文件的澄清</w:t>
      </w:r>
    </w:p>
    <w:p w14:paraId="5FE2BBDE">
      <w:pPr>
        <w:spacing w:line="360" w:lineRule="auto"/>
        <w:ind w:firstLine="480" w:firstLineChars="200"/>
        <w:rPr>
          <w:rFonts w:ascii="宋体" w:hAnsi="宋体"/>
          <w:sz w:val="24"/>
        </w:rPr>
      </w:pPr>
      <w:r>
        <w:rPr>
          <w:rFonts w:hint="eastAsia" w:ascii="宋体" w:hAnsi="宋体"/>
          <w:sz w:val="24"/>
        </w:rPr>
        <w:t>为了有助于对谈判响应文件的审查、评价和比较，谈判小组可以根据需要响应谈判供应商澄清其谈判响应文件，但不应寻求提出或允许更改谈判响应文件的实质性内容。</w:t>
      </w:r>
    </w:p>
    <w:p w14:paraId="184E27DD">
      <w:pPr>
        <w:spacing w:line="360" w:lineRule="auto"/>
        <w:rPr>
          <w:rFonts w:ascii="宋体" w:hAnsi="宋体"/>
          <w:b/>
          <w:bCs/>
          <w:sz w:val="24"/>
        </w:rPr>
      </w:pPr>
      <w:r>
        <w:rPr>
          <w:rFonts w:ascii="宋体" w:hAnsi="宋体"/>
          <w:b/>
          <w:bCs/>
          <w:sz w:val="24"/>
        </w:rPr>
        <w:t>32.</w:t>
      </w:r>
      <w:r>
        <w:rPr>
          <w:rFonts w:hint="eastAsia" w:ascii="宋体" w:hAnsi="宋体"/>
          <w:b/>
          <w:bCs/>
          <w:sz w:val="24"/>
        </w:rPr>
        <w:t>错误的修正</w:t>
      </w:r>
    </w:p>
    <w:p w14:paraId="095C1890">
      <w:pPr>
        <w:spacing w:line="360" w:lineRule="auto"/>
        <w:rPr>
          <w:rFonts w:ascii="宋体" w:hAnsi="宋体"/>
          <w:sz w:val="24"/>
        </w:rPr>
      </w:pPr>
      <w:r>
        <w:rPr>
          <w:rFonts w:hint="eastAsia" w:ascii="宋体" w:hAnsi="宋体"/>
          <w:sz w:val="24"/>
        </w:rPr>
        <w:t>3</w:t>
      </w:r>
      <w:r>
        <w:rPr>
          <w:rFonts w:ascii="宋体" w:hAnsi="宋体"/>
          <w:sz w:val="24"/>
        </w:rPr>
        <w:t>2</w:t>
      </w:r>
      <w:r>
        <w:rPr>
          <w:rFonts w:hint="eastAsia" w:ascii="宋体" w:hAnsi="宋体"/>
          <w:sz w:val="24"/>
        </w:rPr>
        <w:t>.</w:t>
      </w:r>
      <w:r>
        <w:rPr>
          <w:rFonts w:ascii="宋体" w:hAnsi="宋体"/>
          <w:sz w:val="24"/>
        </w:rPr>
        <w:t>1</w:t>
      </w:r>
      <w:r>
        <w:rPr>
          <w:rFonts w:hint="eastAsia" w:ascii="宋体" w:hAnsi="宋体"/>
          <w:sz w:val="24"/>
        </w:rPr>
        <w:t>谈判小组将对被确定为实质上响应谈判文件要求的谈判响应文件进行校核，看其是否有计算错误。改正计算错误的原则如下：当用数字表示的数额与用文字表示的数额不一致时，以文字为准；当单价与服务数量的乘积与细目总价不一致时，通常以该行填报的单价为准。除非谈判小组认为单价有明显的小数点错位，此时应以填报的细目总价为准并修改单价。</w:t>
      </w:r>
    </w:p>
    <w:p w14:paraId="2D270689">
      <w:pPr>
        <w:spacing w:line="360" w:lineRule="auto"/>
        <w:rPr>
          <w:rFonts w:ascii="宋体" w:hAnsi="宋体"/>
          <w:sz w:val="24"/>
        </w:rPr>
      </w:pPr>
      <w:r>
        <w:rPr>
          <w:rFonts w:ascii="宋体" w:hAnsi="宋体"/>
          <w:sz w:val="24"/>
        </w:rPr>
        <w:t>32</w:t>
      </w:r>
      <w:r>
        <w:rPr>
          <w:rFonts w:hint="eastAsia" w:ascii="宋体" w:hAnsi="宋体"/>
          <w:sz w:val="24"/>
        </w:rPr>
        <w:t>.</w:t>
      </w:r>
      <w:r>
        <w:rPr>
          <w:rFonts w:ascii="宋体" w:hAnsi="宋体"/>
          <w:sz w:val="24"/>
        </w:rPr>
        <w:t>2</w:t>
      </w:r>
      <w:r>
        <w:rPr>
          <w:rFonts w:hint="eastAsia" w:ascii="宋体" w:hAnsi="宋体"/>
          <w:sz w:val="24"/>
        </w:rPr>
        <w:t>谈判</w:t>
      </w:r>
      <w:r>
        <w:rPr>
          <w:rFonts w:ascii="宋体" w:hAnsi="宋体"/>
          <w:sz w:val="24"/>
        </w:rPr>
        <w:t>小组</w:t>
      </w:r>
      <w:r>
        <w:rPr>
          <w:rFonts w:hint="eastAsia" w:ascii="宋体" w:hAnsi="宋体"/>
          <w:sz w:val="24"/>
        </w:rPr>
        <w:t>将按上述改正错误的原则调整谈判响应文件的报价。在响应谈判供应商同意后，调整后的报价对响应谈判供应商起约束作用，如果响应谈判供应商不接受改正后的报价，则其谈判响应文件将被拒绝。</w:t>
      </w:r>
    </w:p>
    <w:p w14:paraId="4D326E6A">
      <w:pPr>
        <w:spacing w:line="360" w:lineRule="auto"/>
        <w:rPr>
          <w:rFonts w:ascii="宋体" w:hAnsi="宋体"/>
          <w:b/>
          <w:sz w:val="24"/>
        </w:rPr>
      </w:pPr>
      <w:r>
        <w:rPr>
          <w:rFonts w:ascii="宋体" w:hAnsi="宋体"/>
          <w:b/>
          <w:sz w:val="24"/>
        </w:rPr>
        <w:t>33.中小微企业的</w:t>
      </w:r>
      <w:r>
        <w:rPr>
          <w:rFonts w:hint="eastAsia" w:ascii="宋体" w:hAnsi="宋体"/>
          <w:b/>
          <w:sz w:val="24"/>
        </w:rPr>
        <w:t>划型</w:t>
      </w:r>
    </w:p>
    <w:p w14:paraId="22C2BEA3">
      <w:pPr>
        <w:spacing w:line="360" w:lineRule="auto"/>
        <w:rPr>
          <w:rFonts w:ascii="宋体" w:hAnsi="宋体"/>
          <w:sz w:val="24"/>
        </w:rPr>
      </w:pPr>
      <w:r>
        <w:rPr>
          <w:rFonts w:ascii="宋体" w:hAnsi="宋体"/>
          <w:sz w:val="24"/>
        </w:rPr>
        <w:t>33</w:t>
      </w:r>
      <w:r>
        <w:rPr>
          <w:rFonts w:hint="eastAsia" w:ascii="宋体" w:hAnsi="宋体"/>
          <w:sz w:val="24"/>
        </w:rPr>
        <w:t>.1中</w:t>
      </w:r>
      <w:r>
        <w:rPr>
          <w:rFonts w:ascii="宋体" w:hAnsi="宋体"/>
          <w:sz w:val="24"/>
        </w:rPr>
        <w:t>小微企业投标是</w:t>
      </w:r>
      <w:r>
        <w:rPr>
          <w:rFonts w:hint="eastAsia" w:ascii="宋体" w:hAnsi="宋体"/>
          <w:sz w:val="24"/>
        </w:rPr>
        <w:t>符</w:t>
      </w:r>
      <w:r>
        <w:rPr>
          <w:rFonts w:ascii="宋体" w:hAnsi="宋体"/>
          <w:sz w:val="24"/>
        </w:rPr>
        <w:t>合《</w:t>
      </w:r>
      <w:r>
        <w:rPr>
          <w:rFonts w:hint="eastAsia" w:ascii="宋体" w:hAnsi="宋体"/>
          <w:sz w:val="24"/>
        </w:rPr>
        <w:t>中</w:t>
      </w:r>
      <w:r>
        <w:rPr>
          <w:rFonts w:ascii="宋体" w:hAnsi="宋体"/>
          <w:sz w:val="24"/>
        </w:rPr>
        <w:t>小企业划型标</w:t>
      </w:r>
      <w:r>
        <w:rPr>
          <w:rFonts w:hint="eastAsia" w:ascii="宋体" w:hAnsi="宋体"/>
          <w:sz w:val="24"/>
        </w:rPr>
        <w:t>准</w:t>
      </w:r>
      <w:r>
        <w:rPr>
          <w:rFonts w:ascii="宋体" w:hAnsi="宋体"/>
          <w:sz w:val="24"/>
        </w:rPr>
        <w:t>规定》</w:t>
      </w:r>
      <w:r>
        <w:rPr>
          <w:rFonts w:hint="eastAsia" w:ascii="宋体" w:hAnsi="宋体"/>
          <w:sz w:val="24"/>
        </w:rPr>
        <w:t>的</w:t>
      </w:r>
      <w:r>
        <w:rPr>
          <w:rFonts w:ascii="宋体" w:hAnsi="宋体"/>
          <w:sz w:val="24"/>
        </w:rPr>
        <w:t>响应谈判供应商，通过投标提供本企业制造的货物、</w:t>
      </w:r>
      <w:r>
        <w:rPr>
          <w:rFonts w:hint="eastAsia" w:ascii="宋体" w:hAnsi="宋体"/>
          <w:sz w:val="24"/>
        </w:rPr>
        <w:t>承担</w:t>
      </w:r>
      <w:r>
        <w:rPr>
          <w:rFonts w:ascii="宋体" w:hAnsi="宋体"/>
          <w:sz w:val="24"/>
        </w:rPr>
        <w:t>的工程或者服务，或者提供其他中小微企业制造的货物。本</w:t>
      </w:r>
      <w:r>
        <w:rPr>
          <w:rFonts w:hint="eastAsia" w:ascii="宋体" w:hAnsi="宋体"/>
          <w:sz w:val="24"/>
        </w:rPr>
        <w:t>项</w:t>
      </w:r>
      <w:r>
        <w:rPr>
          <w:rFonts w:ascii="宋体" w:hAnsi="宋体"/>
          <w:sz w:val="24"/>
        </w:rPr>
        <w:t>所指货物不包括使用大型企业注册商标的货物。中</w:t>
      </w:r>
      <w:r>
        <w:rPr>
          <w:rFonts w:hint="eastAsia" w:ascii="宋体" w:hAnsi="宋体"/>
          <w:sz w:val="24"/>
        </w:rPr>
        <w:t>小</w:t>
      </w:r>
      <w:r>
        <w:rPr>
          <w:rFonts w:ascii="宋体" w:hAnsi="宋体"/>
          <w:sz w:val="24"/>
        </w:rPr>
        <w:t>微企业投标应提供</w:t>
      </w:r>
      <w:r>
        <w:rPr>
          <w:rFonts w:hint="eastAsia" w:ascii="宋体" w:hAnsi="宋体"/>
          <w:sz w:val="24"/>
        </w:rPr>
        <w:t>《中</w:t>
      </w:r>
      <w:r>
        <w:rPr>
          <w:rFonts w:ascii="宋体" w:hAnsi="宋体"/>
          <w:sz w:val="24"/>
        </w:rPr>
        <w:t>小</w:t>
      </w:r>
      <w:r>
        <w:rPr>
          <w:rFonts w:hint="eastAsia" w:ascii="宋体" w:hAnsi="宋体"/>
          <w:sz w:val="24"/>
        </w:rPr>
        <w:t>微</w:t>
      </w:r>
      <w:r>
        <w:rPr>
          <w:rFonts w:ascii="宋体" w:hAnsi="宋体"/>
          <w:sz w:val="24"/>
        </w:rPr>
        <w:t>企业声明函》</w:t>
      </w:r>
      <w:r>
        <w:rPr>
          <w:rFonts w:hint="eastAsia" w:ascii="宋体" w:hAnsi="宋体"/>
          <w:sz w:val="24"/>
        </w:rPr>
        <w:t>；</w:t>
      </w:r>
      <w:r>
        <w:rPr>
          <w:rFonts w:ascii="宋体" w:hAnsi="宋体"/>
          <w:sz w:val="24"/>
        </w:rPr>
        <w:t>中</w:t>
      </w:r>
      <w:r>
        <w:rPr>
          <w:rFonts w:hint="eastAsia" w:ascii="宋体" w:hAnsi="宋体"/>
          <w:sz w:val="24"/>
        </w:rPr>
        <w:t>小</w:t>
      </w:r>
      <w:r>
        <w:rPr>
          <w:rFonts w:ascii="宋体" w:hAnsi="宋体"/>
          <w:sz w:val="24"/>
        </w:rPr>
        <w:t>企业划分见《</w:t>
      </w:r>
      <w:r>
        <w:rPr>
          <w:rFonts w:hint="eastAsia" w:ascii="宋体" w:hAnsi="宋体"/>
          <w:sz w:val="24"/>
        </w:rPr>
        <w:t>关于</w:t>
      </w:r>
      <w:r>
        <w:rPr>
          <w:rFonts w:ascii="宋体" w:hAnsi="宋体"/>
          <w:sz w:val="24"/>
        </w:rPr>
        <w:t>印发</w:t>
      </w:r>
      <w:r>
        <w:rPr>
          <w:rFonts w:hint="eastAsia" w:ascii="宋体" w:hAnsi="宋体"/>
          <w:sz w:val="24"/>
        </w:rPr>
        <w:t>中</w:t>
      </w:r>
      <w:r>
        <w:rPr>
          <w:rFonts w:ascii="宋体" w:hAnsi="宋体"/>
          <w:sz w:val="24"/>
        </w:rPr>
        <w:t>小企业划型标准规定的通知》</w:t>
      </w:r>
      <w:r>
        <w:rPr>
          <w:rFonts w:hint="eastAsia" w:ascii="宋体" w:hAnsi="宋体"/>
          <w:sz w:val="24"/>
        </w:rPr>
        <w:t>（工</w:t>
      </w:r>
      <w:r>
        <w:rPr>
          <w:rFonts w:ascii="宋体" w:hAnsi="宋体"/>
          <w:sz w:val="24"/>
        </w:rPr>
        <w:t>信部联企业</w:t>
      </w:r>
      <w:r>
        <w:rPr>
          <w:rFonts w:hint="eastAsia" w:ascii="宋体" w:hAnsi="宋体"/>
          <w:sz w:val="24"/>
        </w:rPr>
        <w:t>〔2011〕</w:t>
      </w:r>
      <w:r>
        <w:rPr>
          <w:rFonts w:ascii="宋体" w:hAnsi="宋体"/>
          <w:sz w:val="24"/>
        </w:rPr>
        <w:t>300</w:t>
      </w:r>
      <w:r>
        <w:rPr>
          <w:rFonts w:hint="eastAsia" w:ascii="宋体" w:hAnsi="宋体"/>
          <w:sz w:val="24"/>
        </w:rPr>
        <w:t>号</w:t>
      </w:r>
      <w:r>
        <w:rPr>
          <w:rFonts w:ascii="宋体" w:hAnsi="宋体"/>
          <w:sz w:val="24"/>
        </w:rPr>
        <w:t>）</w:t>
      </w:r>
      <w:r>
        <w:rPr>
          <w:rFonts w:hint="eastAsia" w:ascii="宋体" w:hAnsi="宋体"/>
          <w:sz w:val="24"/>
        </w:rPr>
        <w:t>。</w:t>
      </w:r>
    </w:p>
    <w:p w14:paraId="24183CCC">
      <w:pPr>
        <w:spacing w:line="360" w:lineRule="auto"/>
        <w:rPr>
          <w:rFonts w:ascii="宋体" w:hAnsi="宋体"/>
          <w:sz w:val="24"/>
        </w:rPr>
      </w:pPr>
      <w:r>
        <w:rPr>
          <w:rFonts w:ascii="宋体" w:hAnsi="宋体"/>
          <w:sz w:val="24"/>
        </w:rPr>
        <w:t>33</w:t>
      </w:r>
      <w:r>
        <w:rPr>
          <w:rFonts w:hint="eastAsia" w:ascii="宋体" w:hAnsi="宋体"/>
          <w:sz w:val="24"/>
        </w:rPr>
        <w:t>.2根据</w:t>
      </w:r>
      <w:r>
        <w:rPr>
          <w:rFonts w:ascii="宋体" w:hAnsi="宋体"/>
          <w:sz w:val="24"/>
        </w:rPr>
        <w:t>《</w:t>
      </w:r>
      <w:r>
        <w:rPr>
          <w:rFonts w:hint="eastAsia" w:ascii="宋体" w:hAnsi="宋体"/>
          <w:sz w:val="24"/>
        </w:rPr>
        <w:t>财政</w:t>
      </w:r>
      <w:r>
        <w:rPr>
          <w:rFonts w:ascii="宋体" w:hAnsi="宋体"/>
          <w:sz w:val="24"/>
        </w:rPr>
        <w:t>部</w:t>
      </w:r>
      <w:r>
        <w:rPr>
          <w:rFonts w:hint="eastAsia" w:ascii="宋体" w:hAnsi="宋体"/>
          <w:sz w:val="24"/>
        </w:rPr>
        <w:t xml:space="preserve"> 司法</w:t>
      </w:r>
      <w:r>
        <w:rPr>
          <w:rFonts w:ascii="宋体" w:hAnsi="宋体"/>
          <w:sz w:val="24"/>
        </w:rPr>
        <w:t>部关于政府采购支持</w:t>
      </w:r>
      <w:r>
        <w:rPr>
          <w:rFonts w:hint="eastAsia" w:ascii="宋体" w:hAnsi="宋体"/>
          <w:sz w:val="24"/>
        </w:rPr>
        <w:t>监狱</w:t>
      </w:r>
      <w:r>
        <w:rPr>
          <w:rFonts w:ascii="宋体" w:hAnsi="宋体"/>
          <w:sz w:val="24"/>
        </w:rPr>
        <w:t>企业发展有关问题的</w:t>
      </w:r>
      <w:r>
        <w:rPr>
          <w:rFonts w:hint="eastAsia" w:ascii="宋体" w:hAnsi="宋体"/>
          <w:sz w:val="24"/>
        </w:rPr>
        <w:t>通知</w:t>
      </w:r>
      <w:r>
        <w:rPr>
          <w:rFonts w:ascii="宋体" w:hAnsi="宋体"/>
          <w:sz w:val="24"/>
        </w:rPr>
        <w:t>》</w:t>
      </w:r>
      <w:r>
        <w:rPr>
          <w:rFonts w:hint="eastAsia" w:ascii="宋体" w:hAnsi="宋体"/>
          <w:sz w:val="24"/>
        </w:rPr>
        <w:t>（财</w:t>
      </w:r>
      <w:r>
        <w:rPr>
          <w:rFonts w:ascii="宋体" w:hAnsi="宋体"/>
          <w:sz w:val="24"/>
        </w:rPr>
        <w:t>库</w:t>
      </w:r>
      <w:r>
        <w:rPr>
          <w:rFonts w:hint="eastAsia" w:ascii="宋体" w:hAnsi="宋体"/>
          <w:sz w:val="24"/>
        </w:rPr>
        <w:t>〔2014〕68号</w:t>
      </w:r>
      <w:r>
        <w:rPr>
          <w:rFonts w:ascii="宋体" w:hAnsi="宋体"/>
          <w:sz w:val="24"/>
        </w:rPr>
        <w:t>）</w:t>
      </w:r>
      <w:r>
        <w:rPr>
          <w:rFonts w:hint="eastAsia" w:ascii="宋体" w:hAnsi="宋体"/>
          <w:sz w:val="24"/>
        </w:rPr>
        <w:t>，</w:t>
      </w:r>
      <w:r>
        <w:rPr>
          <w:rFonts w:ascii="宋体" w:hAnsi="宋体"/>
          <w:sz w:val="24"/>
        </w:rPr>
        <w:t>监狱企业视同小微企业。监狱</w:t>
      </w:r>
      <w:r>
        <w:rPr>
          <w:rFonts w:hint="eastAsia" w:ascii="宋体" w:hAnsi="宋体"/>
          <w:sz w:val="24"/>
        </w:rPr>
        <w:t>企业</w:t>
      </w:r>
      <w:r>
        <w:rPr>
          <w:rFonts w:ascii="宋体" w:hAnsi="宋体"/>
          <w:sz w:val="24"/>
        </w:rPr>
        <w:t>是指</w:t>
      </w:r>
      <w:r>
        <w:rPr>
          <w:rFonts w:hint="eastAsia" w:ascii="宋体" w:hAnsi="宋体"/>
          <w:sz w:val="24"/>
        </w:rPr>
        <w:t>由</w:t>
      </w:r>
      <w:r>
        <w:rPr>
          <w:rFonts w:ascii="宋体" w:hAnsi="宋体"/>
          <w:sz w:val="24"/>
        </w:rPr>
        <w:t>司法部认定的为罪犯、戒毒人员提供生产项目和劳动对象，且全部产权属于司法部监狱管理局、戒毒管理局</w:t>
      </w:r>
      <w:r>
        <w:rPr>
          <w:rFonts w:hint="eastAsia" w:ascii="宋体" w:hAnsi="宋体"/>
          <w:sz w:val="24"/>
        </w:rPr>
        <w:t>、</w:t>
      </w:r>
      <w:r>
        <w:rPr>
          <w:rFonts w:ascii="宋体" w:hAnsi="宋体"/>
          <w:sz w:val="24"/>
        </w:rPr>
        <w:t>直属煤矿管理局，各省、自治区、直辖市</w:t>
      </w:r>
      <w:r>
        <w:rPr>
          <w:rFonts w:hint="eastAsia" w:ascii="宋体" w:hAnsi="宋体"/>
          <w:sz w:val="24"/>
        </w:rPr>
        <w:t>监狱</w:t>
      </w:r>
      <w:r>
        <w:rPr>
          <w:rFonts w:ascii="宋体" w:hAnsi="宋体"/>
          <w:sz w:val="24"/>
        </w:rPr>
        <w:t>管理局、戒毒管理局，各地（</w:t>
      </w:r>
      <w:r>
        <w:rPr>
          <w:rFonts w:hint="eastAsia" w:ascii="宋体" w:hAnsi="宋体"/>
          <w:sz w:val="24"/>
        </w:rPr>
        <w:t>设</w:t>
      </w:r>
      <w:r>
        <w:rPr>
          <w:rFonts w:ascii="宋体" w:hAnsi="宋体"/>
          <w:sz w:val="24"/>
        </w:rPr>
        <w:t>区的市）</w:t>
      </w:r>
      <w:r>
        <w:rPr>
          <w:rFonts w:hint="eastAsia" w:ascii="宋体" w:hAnsi="宋体"/>
          <w:sz w:val="24"/>
        </w:rPr>
        <w:t>的</w:t>
      </w:r>
      <w:r>
        <w:rPr>
          <w:rFonts w:ascii="宋体" w:hAnsi="宋体"/>
          <w:sz w:val="24"/>
        </w:rPr>
        <w:t>监狱、</w:t>
      </w:r>
      <w:r>
        <w:rPr>
          <w:rFonts w:hint="eastAsia" w:ascii="宋体" w:hAnsi="宋体"/>
          <w:sz w:val="24"/>
        </w:rPr>
        <w:t>强制</w:t>
      </w:r>
      <w:r>
        <w:rPr>
          <w:rFonts w:ascii="宋体" w:hAnsi="宋体"/>
          <w:sz w:val="24"/>
        </w:rPr>
        <w:t>隔离戒毒所、戒毒康复所，以及新疆生产建</w:t>
      </w:r>
      <w:r>
        <w:rPr>
          <w:rFonts w:hint="eastAsia" w:ascii="宋体" w:hAnsi="宋体"/>
          <w:sz w:val="24"/>
        </w:rPr>
        <w:t>设</w:t>
      </w:r>
      <w:r>
        <w:rPr>
          <w:rFonts w:ascii="宋体" w:hAnsi="宋体"/>
          <w:sz w:val="24"/>
        </w:rPr>
        <w:t>兵团监狱</w:t>
      </w:r>
      <w:r>
        <w:rPr>
          <w:rFonts w:hint="eastAsia" w:ascii="宋体" w:hAnsi="宋体"/>
          <w:sz w:val="24"/>
        </w:rPr>
        <w:t>管理</w:t>
      </w:r>
      <w:r>
        <w:rPr>
          <w:rFonts w:ascii="宋体" w:hAnsi="宋体"/>
          <w:sz w:val="24"/>
        </w:rPr>
        <w:t>局</w:t>
      </w:r>
      <w:r>
        <w:rPr>
          <w:rFonts w:hint="eastAsia" w:ascii="宋体" w:hAnsi="宋体"/>
          <w:sz w:val="24"/>
        </w:rPr>
        <w:t>、戒毒管理</w:t>
      </w:r>
      <w:r>
        <w:rPr>
          <w:rFonts w:ascii="宋体" w:hAnsi="宋体"/>
          <w:sz w:val="24"/>
        </w:rPr>
        <w:t>局的企业。监狱</w:t>
      </w:r>
      <w:r>
        <w:rPr>
          <w:rFonts w:hint="eastAsia" w:ascii="宋体" w:hAnsi="宋体"/>
          <w:sz w:val="24"/>
        </w:rPr>
        <w:t>企业</w:t>
      </w:r>
      <w:r>
        <w:rPr>
          <w:rFonts w:ascii="宋体" w:hAnsi="宋体"/>
          <w:sz w:val="24"/>
        </w:rPr>
        <w:t>投标时，提供由省级以上监狱管理局、戒毒管理局（</w:t>
      </w:r>
      <w:r>
        <w:rPr>
          <w:rFonts w:hint="eastAsia" w:ascii="宋体" w:hAnsi="宋体"/>
          <w:sz w:val="24"/>
        </w:rPr>
        <w:t>含</w:t>
      </w:r>
      <w:r>
        <w:rPr>
          <w:rFonts w:ascii="宋体" w:hAnsi="宋体"/>
          <w:sz w:val="24"/>
        </w:rPr>
        <w:t>新疆生产建设兵团）</w:t>
      </w:r>
      <w:r>
        <w:rPr>
          <w:rFonts w:hint="eastAsia" w:ascii="宋体" w:hAnsi="宋体"/>
          <w:sz w:val="24"/>
        </w:rPr>
        <w:t>出</w:t>
      </w:r>
      <w:r>
        <w:rPr>
          <w:rFonts w:ascii="宋体" w:hAnsi="宋体"/>
          <w:sz w:val="24"/>
        </w:rPr>
        <w:t>具的属于监狱企业的证明文件，不再</w:t>
      </w:r>
      <w:r>
        <w:rPr>
          <w:rFonts w:hint="eastAsia" w:ascii="宋体" w:hAnsi="宋体"/>
          <w:sz w:val="24"/>
        </w:rPr>
        <w:t>提供</w:t>
      </w:r>
      <w:r>
        <w:rPr>
          <w:rFonts w:ascii="宋体" w:hAnsi="宋体"/>
          <w:sz w:val="24"/>
        </w:rPr>
        <w:t>《</w:t>
      </w:r>
      <w:r>
        <w:rPr>
          <w:rFonts w:hint="eastAsia" w:ascii="宋体" w:hAnsi="宋体"/>
          <w:sz w:val="24"/>
        </w:rPr>
        <w:t>中</w:t>
      </w:r>
      <w:r>
        <w:rPr>
          <w:rFonts w:ascii="宋体" w:hAnsi="宋体"/>
          <w:sz w:val="24"/>
        </w:rPr>
        <w:t>小微企业声明函》</w:t>
      </w:r>
      <w:r>
        <w:rPr>
          <w:rFonts w:hint="eastAsia" w:ascii="宋体" w:hAnsi="宋体"/>
          <w:sz w:val="24"/>
        </w:rPr>
        <w:t>。</w:t>
      </w:r>
    </w:p>
    <w:p w14:paraId="50E11FD2">
      <w:pPr>
        <w:spacing w:line="360" w:lineRule="auto"/>
        <w:rPr>
          <w:rFonts w:ascii="宋体" w:hAnsi="宋体"/>
          <w:sz w:val="24"/>
        </w:rPr>
      </w:pPr>
      <w:r>
        <w:rPr>
          <w:rFonts w:ascii="宋体" w:hAnsi="宋体"/>
          <w:sz w:val="24"/>
        </w:rPr>
        <w:t>33</w:t>
      </w:r>
      <w:r>
        <w:rPr>
          <w:rFonts w:hint="eastAsia" w:ascii="宋体" w:hAnsi="宋体"/>
          <w:sz w:val="24"/>
        </w:rPr>
        <w:t>.3根据《财政</w:t>
      </w:r>
      <w:r>
        <w:rPr>
          <w:rFonts w:ascii="宋体" w:hAnsi="宋体"/>
          <w:sz w:val="24"/>
        </w:rPr>
        <w:t>部</w:t>
      </w:r>
      <w:r>
        <w:rPr>
          <w:rFonts w:hint="eastAsia" w:ascii="宋体" w:hAnsi="宋体"/>
          <w:sz w:val="24"/>
        </w:rPr>
        <w:t xml:space="preserve"> 民</w:t>
      </w:r>
      <w:r>
        <w:rPr>
          <w:rFonts w:ascii="宋体" w:hAnsi="宋体"/>
          <w:sz w:val="24"/>
        </w:rPr>
        <w:t>政</w:t>
      </w:r>
      <w:r>
        <w:rPr>
          <w:rFonts w:hint="eastAsia" w:ascii="宋体" w:hAnsi="宋体"/>
          <w:sz w:val="24"/>
        </w:rPr>
        <w:t>部 中</w:t>
      </w:r>
      <w:r>
        <w:rPr>
          <w:rFonts w:ascii="宋体" w:hAnsi="宋体"/>
          <w:sz w:val="24"/>
        </w:rPr>
        <w:t>国残疾人联合会关于促进残疾人就业政府采购政</w:t>
      </w:r>
      <w:r>
        <w:rPr>
          <w:rFonts w:hint="eastAsia" w:ascii="宋体" w:hAnsi="宋体"/>
          <w:sz w:val="24"/>
        </w:rPr>
        <w:t>策</w:t>
      </w:r>
      <w:r>
        <w:rPr>
          <w:rFonts w:ascii="宋体" w:hAnsi="宋体"/>
          <w:sz w:val="24"/>
        </w:rPr>
        <w:t>的通知》</w:t>
      </w:r>
      <w:r>
        <w:rPr>
          <w:rFonts w:hint="eastAsia" w:ascii="宋体" w:hAnsi="宋体"/>
          <w:sz w:val="24"/>
        </w:rPr>
        <w:t>（财库〔201</w:t>
      </w:r>
      <w:r>
        <w:rPr>
          <w:rFonts w:ascii="宋体" w:hAnsi="宋体"/>
          <w:sz w:val="24"/>
        </w:rPr>
        <w:t>7</w:t>
      </w:r>
      <w:r>
        <w:rPr>
          <w:rFonts w:hint="eastAsia" w:ascii="宋体" w:hAnsi="宋体"/>
          <w:sz w:val="24"/>
        </w:rPr>
        <w:t>〕</w:t>
      </w:r>
      <w:r>
        <w:rPr>
          <w:rFonts w:ascii="宋体" w:hAnsi="宋体"/>
          <w:sz w:val="24"/>
        </w:rPr>
        <w:t>141</w:t>
      </w:r>
      <w:r>
        <w:rPr>
          <w:rFonts w:hint="eastAsia" w:ascii="宋体" w:hAnsi="宋体"/>
          <w:sz w:val="24"/>
        </w:rPr>
        <w:t>号</w:t>
      </w:r>
      <w:r>
        <w:rPr>
          <w:rFonts w:ascii="宋体" w:hAnsi="宋体"/>
          <w:sz w:val="24"/>
        </w:rPr>
        <w:t>）</w:t>
      </w:r>
      <w:r>
        <w:rPr>
          <w:rFonts w:hint="eastAsia" w:ascii="宋体" w:hAnsi="宋体"/>
          <w:sz w:val="24"/>
        </w:rPr>
        <w:t>，</w:t>
      </w:r>
      <w:r>
        <w:rPr>
          <w:rFonts w:ascii="宋体" w:hAnsi="宋体"/>
          <w:sz w:val="24"/>
        </w:rPr>
        <w:t>在政府采购活动中，残疾人福利性单位视同小型、微型企业，享受政府采购支持政策的残疾人福利性单位应当同时满足《</w:t>
      </w:r>
      <w:r>
        <w:rPr>
          <w:rFonts w:hint="eastAsia" w:ascii="宋体" w:hAnsi="宋体"/>
          <w:sz w:val="24"/>
        </w:rPr>
        <w:t>财政</w:t>
      </w:r>
      <w:r>
        <w:rPr>
          <w:rFonts w:ascii="宋体" w:hAnsi="宋体"/>
          <w:sz w:val="24"/>
        </w:rPr>
        <w:t>部</w:t>
      </w:r>
      <w:r>
        <w:rPr>
          <w:rFonts w:hint="eastAsia" w:ascii="宋体" w:hAnsi="宋体"/>
          <w:sz w:val="24"/>
        </w:rPr>
        <w:t xml:space="preserve"> 民</w:t>
      </w:r>
      <w:r>
        <w:rPr>
          <w:rFonts w:ascii="宋体" w:hAnsi="宋体"/>
          <w:sz w:val="24"/>
        </w:rPr>
        <w:t>政</w:t>
      </w:r>
      <w:r>
        <w:rPr>
          <w:rFonts w:hint="eastAsia" w:ascii="宋体" w:hAnsi="宋体"/>
          <w:sz w:val="24"/>
        </w:rPr>
        <w:t>部 中</w:t>
      </w:r>
      <w:r>
        <w:rPr>
          <w:rFonts w:ascii="宋体" w:hAnsi="宋体"/>
          <w:sz w:val="24"/>
        </w:rPr>
        <w:t>国残疾人联合会关于促进残疾人就业政府采购政</w:t>
      </w:r>
      <w:r>
        <w:rPr>
          <w:rFonts w:hint="eastAsia" w:ascii="宋体" w:hAnsi="宋体"/>
          <w:sz w:val="24"/>
        </w:rPr>
        <w:t>策</w:t>
      </w:r>
      <w:r>
        <w:rPr>
          <w:rFonts w:ascii="宋体" w:hAnsi="宋体"/>
          <w:sz w:val="24"/>
        </w:rPr>
        <w:t>的通知》</w:t>
      </w:r>
      <w:r>
        <w:rPr>
          <w:rFonts w:hint="eastAsia" w:ascii="宋体" w:hAnsi="宋体"/>
          <w:sz w:val="24"/>
        </w:rPr>
        <w:t>所</w:t>
      </w:r>
      <w:r>
        <w:rPr>
          <w:rFonts w:ascii="宋体" w:hAnsi="宋体"/>
          <w:sz w:val="24"/>
        </w:rPr>
        <w:t>列条件。残疾</w:t>
      </w:r>
      <w:r>
        <w:rPr>
          <w:rFonts w:hint="eastAsia" w:ascii="宋体" w:hAnsi="宋体"/>
          <w:sz w:val="24"/>
        </w:rPr>
        <w:t>人</w:t>
      </w:r>
      <w:r>
        <w:rPr>
          <w:rFonts w:ascii="宋体" w:hAnsi="宋体"/>
          <w:sz w:val="24"/>
        </w:rPr>
        <w:t>福利星单位属于小型、微型企业的，不重复</w:t>
      </w:r>
      <w:r>
        <w:rPr>
          <w:rFonts w:hint="eastAsia" w:ascii="宋体" w:hAnsi="宋体"/>
          <w:sz w:val="24"/>
        </w:rPr>
        <w:t>享受</w:t>
      </w:r>
      <w:r>
        <w:rPr>
          <w:rFonts w:ascii="宋体" w:hAnsi="宋体"/>
          <w:sz w:val="24"/>
        </w:rPr>
        <w:t>政策。符合</w:t>
      </w:r>
      <w:r>
        <w:rPr>
          <w:rFonts w:hint="eastAsia" w:ascii="宋体" w:hAnsi="宋体"/>
          <w:sz w:val="24"/>
        </w:rPr>
        <w:t>条件的</w:t>
      </w:r>
      <w:r>
        <w:rPr>
          <w:rFonts w:ascii="宋体" w:hAnsi="宋体"/>
          <w:sz w:val="24"/>
        </w:rPr>
        <w:t>残疾人福利性单位在参加政府采购活动时，应当提供《</w:t>
      </w:r>
      <w:r>
        <w:rPr>
          <w:rFonts w:hint="eastAsia" w:ascii="宋体" w:hAnsi="宋体"/>
          <w:sz w:val="24"/>
        </w:rPr>
        <w:t>残疾</w:t>
      </w:r>
      <w:r>
        <w:rPr>
          <w:rFonts w:ascii="宋体" w:hAnsi="宋体"/>
          <w:sz w:val="24"/>
        </w:rPr>
        <w:t>人福利性单位声明</w:t>
      </w:r>
      <w:r>
        <w:rPr>
          <w:rFonts w:hint="eastAsia" w:ascii="宋体" w:hAnsi="宋体"/>
          <w:sz w:val="24"/>
        </w:rPr>
        <w:t>函</w:t>
      </w:r>
      <w:r>
        <w:rPr>
          <w:rFonts w:ascii="宋体" w:hAnsi="宋体"/>
          <w:sz w:val="24"/>
        </w:rPr>
        <w:t>》</w:t>
      </w:r>
      <w:r>
        <w:rPr>
          <w:rFonts w:hint="eastAsia" w:ascii="宋体" w:hAnsi="宋体"/>
          <w:sz w:val="24"/>
        </w:rPr>
        <w:t>，并</w:t>
      </w:r>
      <w:r>
        <w:rPr>
          <w:rFonts w:ascii="宋体" w:hAnsi="宋体"/>
          <w:sz w:val="24"/>
        </w:rPr>
        <w:t>对声明</w:t>
      </w:r>
      <w:r>
        <w:rPr>
          <w:rFonts w:hint="eastAsia" w:ascii="宋体" w:hAnsi="宋体"/>
          <w:sz w:val="24"/>
        </w:rPr>
        <w:t>的</w:t>
      </w:r>
      <w:r>
        <w:rPr>
          <w:rFonts w:ascii="宋体" w:hAnsi="宋体"/>
          <w:sz w:val="24"/>
        </w:rPr>
        <w:t>真实性负责</w:t>
      </w:r>
      <w:r>
        <w:rPr>
          <w:rFonts w:hint="eastAsia" w:ascii="宋体" w:hAnsi="宋体"/>
          <w:sz w:val="24"/>
        </w:rPr>
        <w:t>。</w:t>
      </w:r>
    </w:p>
    <w:p w14:paraId="678EA097">
      <w:pPr>
        <w:spacing w:line="360" w:lineRule="auto"/>
        <w:jc w:val="center"/>
        <w:outlineLvl w:val="1"/>
        <w:rPr>
          <w:rFonts w:ascii="宋体" w:hAnsi="宋体"/>
          <w:sz w:val="24"/>
        </w:rPr>
      </w:pPr>
      <w:bookmarkStart w:id="28" w:name="_Toc103723524"/>
      <w:r>
        <w:rPr>
          <w:rFonts w:hint="eastAsia" w:ascii="宋体" w:hAnsi="宋体"/>
          <w:b/>
          <w:sz w:val="28"/>
        </w:rPr>
        <w:t>八、授予合同</w:t>
      </w:r>
      <w:bookmarkEnd w:id="28"/>
    </w:p>
    <w:p w14:paraId="65B3B0DF">
      <w:pPr>
        <w:spacing w:line="360" w:lineRule="auto"/>
        <w:rPr>
          <w:rFonts w:ascii="宋体" w:hAnsi="宋体"/>
          <w:b/>
          <w:sz w:val="24"/>
        </w:rPr>
      </w:pPr>
      <w:r>
        <w:rPr>
          <w:rFonts w:ascii="宋体" w:hAnsi="宋体"/>
          <w:b/>
          <w:sz w:val="24"/>
        </w:rPr>
        <w:t>34</w:t>
      </w:r>
      <w:r>
        <w:rPr>
          <w:rFonts w:hint="eastAsia" w:ascii="宋体" w:hAnsi="宋体"/>
          <w:b/>
          <w:sz w:val="24"/>
        </w:rPr>
        <w:t>.定标方式</w:t>
      </w:r>
    </w:p>
    <w:p w14:paraId="39954A0E">
      <w:pPr>
        <w:spacing w:line="360" w:lineRule="auto"/>
        <w:ind w:firstLine="480" w:firstLineChars="200"/>
        <w:rPr>
          <w:rFonts w:ascii="宋体" w:hAnsi="宋体"/>
          <w:sz w:val="24"/>
        </w:rPr>
      </w:pPr>
      <w:r>
        <w:rPr>
          <w:rFonts w:hint="eastAsia" w:ascii="宋体" w:hAnsi="宋体"/>
          <w:sz w:val="24"/>
        </w:rPr>
        <w:t>采购人依据谈判小组评审的中标排序结果确定成交供应商。</w:t>
      </w:r>
    </w:p>
    <w:p w14:paraId="2F46DC45">
      <w:pPr>
        <w:spacing w:line="360" w:lineRule="auto"/>
        <w:rPr>
          <w:rFonts w:ascii="宋体" w:hAnsi="宋体"/>
          <w:b/>
          <w:sz w:val="24"/>
        </w:rPr>
      </w:pPr>
      <w:r>
        <w:rPr>
          <w:rFonts w:hint="eastAsia" w:ascii="宋体" w:hAnsi="宋体"/>
          <w:b/>
          <w:sz w:val="24"/>
        </w:rPr>
        <w:t>3</w:t>
      </w:r>
      <w:r>
        <w:rPr>
          <w:rFonts w:ascii="宋体" w:hAnsi="宋体"/>
          <w:b/>
          <w:sz w:val="24"/>
        </w:rPr>
        <w:t>5.</w:t>
      </w:r>
      <w:r>
        <w:rPr>
          <w:rFonts w:hint="eastAsia" w:ascii="宋体" w:hAnsi="宋体"/>
          <w:b/>
          <w:sz w:val="24"/>
        </w:rPr>
        <w:t>成交通知</w:t>
      </w:r>
    </w:p>
    <w:p w14:paraId="4C7D0D18">
      <w:pPr>
        <w:spacing w:line="360" w:lineRule="auto"/>
        <w:rPr>
          <w:rFonts w:ascii="宋体" w:hAnsi="宋体"/>
          <w:sz w:val="24"/>
        </w:rPr>
      </w:pPr>
      <w:r>
        <w:rPr>
          <w:rFonts w:hint="eastAsia" w:ascii="宋体" w:hAnsi="宋体"/>
          <w:sz w:val="24"/>
        </w:rPr>
        <w:t>3</w:t>
      </w:r>
      <w:r>
        <w:rPr>
          <w:rFonts w:ascii="宋体" w:hAnsi="宋体"/>
          <w:sz w:val="24"/>
        </w:rPr>
        <w:t>5</w:t>
      </w:r>
      <w:r>
        <w:rPr>
          <w:rFonts w:hint="eastAsia" w:ascii="宋体" w:hAnsi="宋体"/>
          <w:sz w:val="24"/>
        </w:rPr>
        <w:t>.1采购</w:t>
      </w:r>
      <w:r>
        <w:rPr>
          <w:rFonts w:ascii="宋体" w:hAnsi="宋体"/>
          <w:sz w:val="24"/>
        </w:rPr>
        <w:t>机构将在采购人确定</w:t>
      </w:r>
      <w:r>
        <w:rPr>
          <w:rFonts w:hint="eastAsia" w:ascii="宋体" w:hAnsi="宋体"/>
          <w:sz w:val="24"/>
        </w:rPr>
        <w:t>成交</w:t>
      </w:r>
      <w:r>
        <w:rPr>
          <w:rFonts w:ascii="宋体" w:hAnsi="宋体"/>
          <w:sz w:val="24"/>
        </w:rPr>
        <w:t>供应商</w:t>
      </w:r>
      <w:r>
        <w:rPr>
          <w:rFonts w:hint="eastAsia" w:ascii="宋体" w:hAnsi="宋体"/>
          <w:sz w:val="24"/>
        </w:rPr>
        <w:t>之日</w:t>
      </w:r>
      <w:r>
        <w:rPr>
          <w:rFonts w:ascii="宋体" w:hAnsi="宋体"/>
          <w:sz w:val="24"/>
        </w:rPr>
        <w:t>起</w:t>
      </w:r>
      <w:r>
        <w:rPr>
          <w:rFonts w:hint="eastAsia" w:ascii="宋体" w:hAnsi="宋体"/>
          <w:sz w:val="24"/>
        </w:rPr>
        <w:t>2个</w:t>
      </w:r>
      <w:r>
        <w:rPr>
          <w:rFonts w:ascii="宋体" w:hAnsi="宋体"/>
          <w:sz w:val="24"/>
        </w:rPr>
        <w:t>工作日内，</w:t>
      </w:r>
      <w:r>
        <w:rPr>
          <w:rFonts w:hint="eastAsia" w:ascii="宋体" w:hAnsi="宋体"/>
          <w:sz w:val="24"/>
        </w:rPr>
        <w:t>发布成交公告，</w:t>
      </w:r>
      <w:r>
        <w:rPr>
          <w:rFonts w:ascii="宋体" w:hAnsi="宋体"/>
          <w:sz w:val="24"/>
        </w:rPr>
        <w:t>并发出成交通知书。</w:t>
      </w:r>
      <w:r>
        <w:rPr>
          <w:rFonts w:hint="eastAsia" w:ascii="宋体" w:hAnsi="宋体"/>
          <w:sz w:val="24"/>
        </w:rPr>
        <w:t>成交供应商在“政采云”平台获取电子成交通知书。</w:t>
      </w:r>
    </w:p>
    <w:p w14:paraId="746C3D3D">
      <w:pPr>
        <w:spacing w:line="360" w:lineRule="auto"/>
        <w:rPr>
          <w:rFonts w:ascii="宋体" w:hAnsi="宋体"/>
          <w:sz w:val="24"/>
        </w:rPr>
      </w:pPr>
      <w:r>
        <w:rPr>
          <w:rFonts w:hint="eastAsia" w:ascii="宋体" w:hAnsi="宋体"/>
          <w:sz w:val="24"/>
        </w:rPr>
        <w:t>3</w:t>
      </w:r>
      <w:r>
        <w:rPr>
          <w:rFonts w:ascii="宋体" w:hAnsi="宋体"/>
          <w:sz w:val="24"/>
        </w:rPr>
        <w:t>5</w:t>
      </w:r>
      <w:r>
        <w:rPr>
          <w:rFonts w:hint="eastAsia" w:ascii="宋体" w:hAnsi="宋体"/>
          <w:sz w:val="24"/>
        </w:rPr>
        <w:t>.2在按照本须知第</w:t>
      </w:r>
      <w:r>
        <w:rPr>
          <w:rFonts w:ascii="宋体" w:hAnsi="宋体"/>
          <w:sz w:val="24"/>
        </w:rPr>
        <w:t>36</w:t>
      </w:r>
      <w:r>
        <w:rPr>
          <w:rFonts w:hint="eastAsia" w:ascii="宋体" w:hAnsi="宋体"/>
          <w:sz w:val="24"/>
        </w:rPr>
        <w:t>条签署了合同后，该成交通知书将成为合同的一部分。</w:t>
      </w:r>
    </w:p>
    <w:p w14:paraId="77764019">
      <w:pPr>
        <w:pStyle w:val="50"/>
        <w:spacing w:line="360" w:lineRule="auto"/>
        <w:rPr>
          <w:rFonts w:ascii="宋体" w:hAnsi="宋体" w:eastAsia="宋体"/>
          <w:b/>
          <w:sz w:val="24"/>
        </w:rPr>
      </w:pPr>
      <w:r>
        <w:rPr>
          <w:rFonts w:hint="eastAsia" w:ascii="宋体" w:hAnsi="宋体" w:eastAsia="宋体"/>
          <w:b/>
          <w:sz w:val="24"/>
        </w:rPr>
        <w:t>3</w:t>
      </w:r>
      <w:r>
        <w:rPr>
          <w:rFonts w:ascii="宋体" w:hAnsi="宋体" w:eastAsia="宋体"/>
          <w:b/>
          <w:sz w:val="24"/>
        </w:rPr>
        <w:t>6.</w:t>
      </w:r>
      <w:r>
        <w:rPr>
          <w:rFonts w:hint="eastAsia" w:ascii="宋体" w:hAnsi="宋体" w:eastAsia="宋体"/>
          <w:b/>
          <w:sz w:val="24"/>
        </w:rPr>
        <w:t>履约担保</w:t>
      </w:r>
    </w:p>
    <w:p w14:paraId="0E85F180">
      <w:pPr>
        <w:autoSpaceDE w:val="0"/>
        <w:autoSpaceDN w:val="0"/>
        <w:adjustRightInd w:val="0"/>
        <w:spacing w:line="360" w:lineRule="auto"/>
        <w:ind w:left="-2"/>
        <w:rPr>
          <w:rFonts w:ascii="宋体" w:hAnsi="宋体"/>
          <w:b/>
          <w:sz w:val="24"/>
        </w:rPr>
      </w:pPr>
      <w:r>
        <w:rPr>
          <w:rFonts w:hint="eastAsia" w:ascii="宋体" w:hAnsi="宋体" w:cs="仿宋_GB2312"/>
          <w:kern w:val="0"/>
          <w:sz w:val="24"/>
          <w:lang w:val="zh-CN"/>
        </w:rPr>
        <w:t>3</w:t>
      </w:r>
      <w:r>
        <w:rPr>
          <w:rFonts w:ascii="宋体" w:hAnsi="宋体" w:cs="仿宋_GB2312"/>
          <w:kern w:val="0"/>
          <w:sz w:val="24"/>
          <w:lang w:val="zh-CN"/>
        </w:rPr>
        <w:t>6.1</w:t>
      </w:r>
      <w:r>
        <w:rPr>
          <w:rFonts w:hint="eastAsia" w:ascii="宋体" w:hAnsi="宋体" w:cs="仿宋_GB2312"/>
          <w:b/>
          <w:bCs/>
          <w:kern w:val="0"/>
          <w:sz w:val="24"/>
          <w:lang w:val="zh-CN"/>
        </w:rPr>
        <w:t>本项目履约担保采用履约保证金的方式。合同</w:t>
      </w:r>
      <w:r>
        <w:rPr>
          <w:rFonts w:ascii="宋体" w:hAnsi="宋体" w:cs="仿宋_GB2312"/>
          <w:b/>
          <w:bCs/>
          <w:kern w:val="0"/>
          <w:sz w:val="24"/>
          <w:lang w:val="zh-CN"/>
        </w:rPr>
        <w:t>签订前</w:t>
      </w:r>
      <w:r>
        <w:rPr>
          <w:rFonts w:hint="eastAsia" w:ascii="宋体" w:hAnsi="宋体" w:cs="仿宋_GB2312"/>
          <w:b/>
          <w:bCs/>
          <w:kern w:val="0"/>
          <w:sz w:val="24"/>
          <w:lang w:val="zh-CN"/>
        </w:rPr>
        <w:t>，成交供应商</w:t>
      </w:r>
      <w:r>
        <w:rPr>
          <w:rFonts w:ascii="宋体" w:hAnsi="宋体" w:cs="仿宋_GB2312"/>
          <w:b/>
          <w:bCs/>
          <w:kern w:val="0"/>
          <w:sz w:val="24"/>
          <w:lang w:val="zh-CN"/>
        </w:rPr>
        <w:t>应按前附表规定的金额</w:t>
      </w:r>
      <w:r>
        <w:rPr>
          <w:rFonts w:hint="eastAsia" w:ascii="宋体" w:hAnsi="宋体" w:cs="仿宋_GB2312"/>
          <w:b/>
          <w:bCs/>
          <w:kern w:val="0"/>
          <w:sz w:val="24"/>
          <w:lang w:val="zh-CN"/>
        </w:rPr>
        <w:t>以</w:t>
      </w:r>
      <w:r>
        <w:rPr>
          <w:rFonts w:ascii="宋体" w:hAnsi="宋体" w:cs="仿宋_GB2312"/>
          <w:b/>
          <w:bCs/>
          <w:kern w:val="0"/>
          <w:sz w:val="24"/>
          <w:lang w:val="zh-CN"/>
        </w:rPr>
        <w:t>转账形式向采购人提交履约保证金。</w:t>
      </w:r>
    </w:p>
    <w:p w14:paraId="438E7D10">
      <w:pPr>
        <w:autoSpaceDE w:val="0"/>
        <w:autoSpaceDN w:val="0"/>
        <w:adjustRightInd w:val="0"/>
        <w:spacing w:line="360" w:lineRule="auto"/>
        <w:ind w:left="-2"/>
        <w:rPr>
          <w:rFonts w:ascii="宋体" w:hAnsi="宋体" w:cs="仿宋_GB2312"/>
          <w:b/>
          <w:bCs/>
          <w:kern w:val="0"/>
          <w:sz w:val="24"/>
          <w:lang w:val="zh-CN"/>
        </w:rPr>
      </w:pPr>
      <w:r>
        <w:rPr>
          <w:rFonts w:hint="eastAsia" w:ascii="宋体" w:hAnsi="宋体" w:cs="仿宋_GB2312"/>
          <w:kern w:val="0"/>
          <w:sz w:val="24"/>
          <w:lang w:val="zh-CN"/>
        </w:rPr>
        <w:t>3</w:t>
      </w:r>
      <w:r>
        <w:rPr>
          <w:rFonts w:ascii="宋体" w:hAnsi="宋体" w:cs="仿宋_GB2312"/>
          <w:kern w:val="0"/>
          <w:sz w:val="24"/>
          <w:lang w:val="zh-CN"/>
        </w:rPr>
        <w:t>6</w:t>
      </w:r>
      <w:r>
        <w:rPr>
          <w:rFonts w:hint="eastAsia" w:ascii="宋体" w:hAnsi="宋体" w:cs="仿宋_GB2312"/>
          <w:kern w:val="0"/>
          <w:sz w:val="24"/>
          <w:lang w:val="zh-CN"/>
        </w:rPr>
        <w:t>.</w:t>
      </w:r>
      <w:r>
        <w:rPr>
          <w:rFonts w:ascii="宋体" w:hAnsi="宋体" w:cs="仿宋_GB2312"/>
          <w:kern w:val="0"/>
          <w:sz w:val="24"/>
          <w:lang w:val="zh-CN"/>
        </w:rPr>
        <w:t>2</w:t>
      </w:r>
      <w:r>
        <w:rPr>
          <w:rFonts w:hint="eastAsia" w:ascii="宋体" w:hAnsi="宋体" w:cs="仿宋_GB2312"/>
          <w:b/>
          <w:bCs/>
          <w:kern w:val="0"/>
          <w:sz w:val="24"/>
          <w:lang w:val="zh-CN"/>
        </w:rPr>
        <w:t>履约保证金金额及</w:t>
      </w:r>
      <w:r>
        <w:rPr>
          <w:rFonts w:ascii="宋体" w:hAnsi="宋体" w:cs="仿宋_GB2312"/>
          <w:b/>
          <w:bCs/>
          <w:kern w:val="0"/>
          <w:sz w:val="24"/>
          <w:lang w:val="zh-CN"/>
        </w:rPr>
        <w:t>开户行信息</w:t>
      </w:r>
      <w:r>
        <w:rPr>
          <w:rFonts w:hint="eastAsia" w:ascii="宋体" w:hAnsi="宋体" w:cs="仿宋_GB2312"/>
          <w:b/>
          <w:bCs/>
          <w:kern w:val="0"/>
          <w:sz w:val="24"/>
          <w:lang w:val="zh-CN"/>
        </w:rPr>
        <w:t>：见本须知前附表。</w:t>
      </w:r>
    </w:p>
    <w:p w14:paraId="4C60A62E">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6</w:t>
      </w:r>
      <w:r>
        <w:rPr>
          <w:rFonts w:hint="eastAsia" w:ascii="宋体" w:hAnsi="宋体" w:eastAsia="宋体" w:cs="仿宋_GB2312"/>
          <w:kern w:val="0"/>
          <w:sz w:val="24"/>
          <w:lang w:val="zh-CN"/>
        </w:rPr>
        <w:t>.3采购人将在</w:t>
      </w:r>
      <w:r>
        <w:rPr>
          <w:rFonts w:hint="eastAsia" w:ascii="宋体" w:hAnsi="宋体" w:eastAsia="宋体"/>
          <w:sz w:val="24"/>
        </w:rPr>
        <w:t>成交供应商完成供货的100%，经验收达到合同约定的质量标准，返还全部</w:t>
      </w:r>
      <w:r>
        <w:rPr>
          <w:rFonts w:hint="eastAsia" w:ascii="宋体" w:hAnsi="宋体" w:eastAsia="宋体" w:cs="仿宋_GB2312"/>
          <w:kern w:val="0"/>
          <w:sz w:val="24"/>
          <w:lang w:val="zh-CN"/>
        </w:rPr>
        <w:t>履约保证金（不计利息）。</w:t>
      </w:r>
    </w:p>
    <w:p w14:paraId="32D4049C">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6</w:t>
      </w:r>
      <w:r>
        <w:rPr>
          <w:rFonts w:hint="eastAsia" w:ascii="宋体" w:hAnsi="宋体" w:eastAsia="宋体" w:cs="仿宋_GB2312"/>
          <w:kern w:val="0"/>
          <w:sz w:val="24"/>
          <w:lang w:val="zh-CN"/>
        </w:rPr>
        <w:t>.</w:t>
      </w:r>
      <w:r>
        <w:rPr>
          <w:rFonts w:ascii="宋体" w:hAnsi="宋体" w:eastAsia="宋体" w:cs="仿宋_GB2312"/>
          <w:kern w:val="0"/>
          <w:sz w:val="24"/>
          <w:lang w:val="zh-CN"/>
        </w:rPr>
        <w:t>4</w:t>
      </w:r>
      <w:r>
        <w:rPr>
          <w:rFonts w:hint="eastAsia" w:ascii="宋体" w:hAnsi="宋体" w:eastAsia="宋体" w:cs="仿宋_GB2312"/>
          <w:kern w:val="0"/>
          <w:sz w:val="24"/>
          <w:lang w:val="zh-CN"/>
        </w:rPr>
        <w:t>成交供应商如未能按合同签订内容完成全部供货内容，采购机构将有权没收其履约保证金用于弥补给采购人造成的损失。</w:t>
      </w:r>
    </w:p>
    <w:p w14:paraId="0AC19C9B">
      <w:pPr>
        <w:autoSpaceDE w:val="0"/>
        <w:autoSpaceDN w:val="0"/>
        <w:adjustRightInd w:val="0"/>
        <w:spacing w:line="360" w:lineRule="auto"/>
        <w:ind w:left="-2"/>
        <w:rPr>
          <w:rFonts w:ascii="宋体" w:hAnsi="宋体"/>
          <w:sz w:val="24"/>
        </w:rPr>
      </w:pPr>
      <w:r>
        <w:rPr>
          <w:rFonts w:ascii="宋体" w:hAnsi="宋体"/>
          <w:b/>
          <w:sz w:val="24"/>
        </w:rPr>
        <w:t>37</w:t>
      </w:r>
      <w:r>
        <w:rPr>
          <w:rFonts w:hint="eastAsia" w:ascii="宋体" w:hAnsi="宋体"/>
          <w:b/>
          <w:sz w:val="24"/>
        </w:rPr>
        <w:t>.合同的签署</w:t>
      </w:r>
    </w:p>
    <w:p w14:paraId="40A1A82C">
      <w:pPr>
        <w:spacing w:line="360" w:lineRule="auto"/>
        <w:rPr>
          <w:rFonts w:ascii="宋体" w:hAnsi="宋体"/>
          <w:b/>
          <w:sz w:val="24"/>
        </w:rPr>
      </w:pPr>
      <w:r>
        <w:rPr>
          <w:rFonts w:hint="eastAsia" w:ascii="宋体" w:hAnsi="宋体"/>
          <w:b/>
          <w:sz w:val="24"/>
        </w:rPr>
        <w:t>3</w:t>
      </w:r>
      <w:r>
        <w:rPr>
          <w:rFonts w:ascii="宋体" w:hAnsi="宋体"/>
          <w:b/>
          <w:sz w:val="24"/>
        </w:rPr>
        <w:t>7</w:t>
      </w:r>
      <w:r>
        <w:rPr>
          <w:rFonts w:hint="eastAsia" w:ascii="宋体" w:hAnsi="宋体"/>
          <w:b/>
          <w:sz w:val="24"/>
        </w:rPr>
        <w:t>.1成交供应商需在领取成交通知书后</w:t>
      </w:r>
      <w:r>
        <w:rPr>
          <w:rFonts w:ascii="宋体" w:hAnsi="宋体"/>
          <w:b/>
          <w:sz w:val="24"/>
          <w:u w:val="single"/>
        </w:rPr>
        <w:t>30</w:t>
      </w:r>
      <w:r>
        <w:rPr>
          <w:rFonts w:hint="eastAsia" w:ascii="宋体" w:hAnsi="宋体"/>
          <w:b/>
          <w:sz w:val="24"/>
          <w:u w:val="single"/>
        </w:rPr>
        <w:t>日</w:t>
      </w:r>
      <w:r>
        <w:rPr>
          <w:rFonts w:hint="eastAsia" w:ascii="宋体" w:hAnsi="宋体"/>
          <w:b/>
          <w:sz w:val="24"/>
        </w:rPr>
        <w:t>内，与采购人签订政府采购合同。政府采购合同内容的确定应以谈判文件和谈判响应文件为基础，不得违背其实质性内容。合同一式三份，具同等法律效力。采购人、成交供应商、长春净月高新技术产业开发区政府采购中心各执一份。</w:t>
      </w:r>
    </w:p>
    <w:p w14:paraId="14BD6CDD">
      <w:pPr>
        <w:spacing w:line="360" w:lineRule="auto"/>
        <w:rPr>
          <w:rFonts w:ascii="宋体" w:hAnsi="宋体"/>
          <w:b/>
          <w:sz w:val="24"/>
        </w:rPr>
      </w:pPr>
      <w:r>
        <w:rPr>
          <w:rFonts w:hint="eastAsia" w:ascii="宋体" w:hAnsi="宋体"/>
          <w:b/>
          <w:sz w:val="24"/>
        </w:rPr>
        <w:t>3</w:t>
      </w:r>
      <w:r>
        <w:rPr>
          <w:rFonts w:ascii="宋体" w:hAnsi="宋体"/>
          <w:b/>
          <w:sz w:val="24"/>
        </w:rPr>
        <w:t>7</w:t>
      </w:r>
      <w:r>
        <w:rPr>
          <w:rFonts w:hint="eastAsia" w:ascii="宋体" w:hAnsi="宋体"/>
          <w:b/>
          <w:sz w:val="24"/>
        </w:rPr>
        <w:t>.2采购人应当自政府采购合同签订之日起</w:t>
      </w:r>
      <w:r>
        <w:rPr>
          <w:rFonts w:hint="eastAsia" w:ascii="宋体" w:hAnsi="宋体"/>
          <w:b/>
          <w:sz w:val="24"/>
          <w:u w:val="single"/>
        </w:rPr>
        <w:t>2个工作日</w:t>
      </w:r>
      <w:r>
        <w:rPr>
          <w:rFonts w:hint="eastAsia" w:ascii="宋体" w:hAnsi="宋体"/>
          <w:b/>
          <w:sz w:val="24"/>
        </w:rPr>
        <w:t>内，将政府采购合同在财政部门指定的媒体上公告，但政府采购合同中涉及国家秘密、商业秘密的内容除外。</w:t>
      </w:r>
    </w:p>
    <w:p w14:paraId="42061BB3">
      <w:pPr>
        <w:spacing w:line="360" w:lineRule="auto"/>
        <w:rPr>
          <w:rFonts w:ascii="宋体" w:hAnsi="宋体"/>
          <w:sz w:val="24"/>
        </w:rPr>
      </w:pPr>
      <w:r>
        <w:rPr>
          <w:rFonts w:hint="eastAsia" w:ascii="宋体" w:hAnsi="宋体"/>
          <w:sz w:val="24"/>
        </w:rPr>
        <w:t>3</w:t>
      </w:r>
      <w:r>
        <w:rPr>
          <w:rFonts w:ascii="宋体" w:hAnsi="宋体"/>
          <w:sz w:val="24"/>
        </w:rPr>
        <w:t>7</w:t>
      </w:r>
      <w:r>
        <w:rPr>
          <w:rFonts w:hint="eastAsia" w:ascii="宋体" w:hAnsi="宋体"/>
          <w:sz w:val="24"/>
        </w:rPr>
        <w:t>.3采购人应当自政府采购合同自签订之日起</w:t>
      </w:r>
      <w:r>
        <w:rPr>
          <w:rFonts w:hint="eastAsia" w:ascii="宋体" w:hAnsi="宋体"/>
          <w:sz w:val="24"/>
          <w:u w:val="single"/>
        </w:rPr>
        <w:t>7个工作日</w:t>
      </w:r>
      <w:r>
        <w:rPr>
          <w:rFonts w:hint="eastAsia" w:ascii="宋体" w:hAnsi="宋体"/>
          <w:sz w:val="24"/>
        </w:rPr>
        <w:t>内，将政府采购合同送至长春净月开发区政府采购中心存档。</w:t>
      </w:r>
    </w:p>
    <w:p w14:paraId="7F616B74">
      <w:pPr>
        <w:spacing w:line="360" w:lineRule="auto"/>
        <w:rPr>
          <w:rFonts w:ascii="宋体" w:hAnsi="宋体"/>
          <w:sz w:val="24"/>
        </w:rPr>
      </w:pPr>
      <w:r>
        <w:rPr>
          <w:rFonts w:hint="eastAsia" w:ascii="宋体" w:hAnsi="宋体"/>
          <w:sz w:val="24"/>
        </w:rPr>
        <w:t>3</w:t>
      </w:r>
      <w:r>
        <w:rPr>
          <w:rFonts w:ascii="宋体" w:hAnsi="宋体"/>
          <w:sz w:val="24"/>
        </w:rPr>
        <w:t>7</w:t>
      </w:r>
      <w:r>
        <w:rPr>
          <w:rFonts w:hint="eastAsia" w:ascii="宋体" w:hAnsi="宋体"/>
          <w:sz w:val="24"/>
        </w:rPr>
        <w:t>.4成交供应商无正当理由拒签合同的，采购人取消其中标资格，给采购人造成损失的，成交供应商还应当予以赔偿。</w:t>
      </w:r>
    </w:p>
    <w:p w14:paraId="576441A4">
      <w:pPr>
        <w:spacing w:line="360" w:lineRule="auto"/>
        <w:rPr>
          <w:rFonts w:ascii="宋体" w:hAnsi="宋体"/>
          <w:sz w:val="24"/>
        </w:rPr>
      </w:pPr>
      <w:r>
        <w:rPr>
          <w:rFonts w:hint="eastAsia" w:ascii="宋体" w:hAnsi="宋体"/>
          <w:sz w:val="24"/>
        </w:rPr>
        <w:t>3</w:t>
      </w:r>
      <w:r>
        <w:rPr>
          <w:rFonts w:ascii="宋体" w:hAnsi="宋体"/>
          <w:sz w:val="24"/>
        </w:rPr>
        <w:t>7</w:t>
      </w:r>
      <w:r>
        <w:rPr>
          <w:rFonts w:hint="eastAsia" w:ascii="宋体" w:hAnsi="宋体"/>
          <w:sz w:val="24"/>
        </w:rPr>
        <w:t>.5发出成交通知书后，采购人无正当理由拒签合同给成交供应商造成损失的，还应当赔偿损失。</w:t>
      </w:r>
    </w:p>
    <w:p w14:paraId="3C371E33">
      <w:pPr>
        <w:spacing w:line="360" w:lineRule="auto"/>
        <w:rPr>
          <w:rFonts w:ascii="宋体" w:hAnsi="宋体"/>
          <w:bCs/>
          <w:sz w:val="24"/>
        </w:rPr>
      </w:pPr>
      <w:r>
        <w:rPr>
          <w:rFonts w:hint="eastAsia" w:ascii="宋体" w:hAnsi="宋体"/>
          <w:bCs/>
          <w:sz w:val="24"/>
        </w:rPr>
        <w:t>3</w:t>
      </w:r>
      <w:r>
        <w:rPr>
          <w:rFonts w:ascii="宋体" w:hAnsi="宋体"/>
          <w:bCs/>
          <w:sz w:val="24"/>
        </w:rPr>
        <w:t>7</w:t>
      </w:r>
      <w:r>
        <w:rPr>
          <w:rFonts w:hint="eastAsia" w:ascii="宋体" w:hAnsi="宋体"/>
          <w:bCs/>
          <w:sz w:val="24"/>
        </w:rPr>
        <w:t>.6本项目严禁转包，一经发现立即清除，采购人将有充分理由废除授标，成交供应商应承担由此造成的一切经济损失。</w:t>
      </w:r>
    </w:p>
    <w:p w14:paraId="298E5A67">
      <w:pPr>
        <w:pStyle w:val="50"/>
        <w:spacing w:line="360" w:lineRule="auto"/>
        <w:jc w:val="center"/>
        <w:outlineLvl w:val="1"/>
        <w:rPr>
          <w:rFonts w:ascii="宋体" w:hAnsi="宋体" w:eastAsia="宋体" w:cs="仿宋_GB2312"/>
          <w:b/>
          <w:kern w:val="0"/>
          <w:sz w:val="30"/>
          <w:szCs w:val="30"/>
          <w:lang w:val="zh-CN"/>
        </w:rPr>
      </w:pPr>
      <w:bookmarkStart w:id="29" w:name="_Toc103723525"/>
      <w:r>
        <w:rPr>
          <w:rFonts w:hint="eastAsia" w:ascii="宋体" w:hAnsi="宋体" w:eastAsia="宋体" w:cs="仿宋_GB2312"/>
          <w:b/>
          <w:kern w:val="0"/>
          <w:sz w:val="30"/>
          <w:szCs w:val="30"/>
          <w:lang w:val="zh-CN"/>
        </w:rPr>
        <w:t>九、重新</w:t>
      </w:r>
      <w:bookmarkEnd w:id="29"/>
      <w:r>
        <w:rPr>
          <w:rFonts w:hint="eastAsia" w:ascii="宋体" w:hAnsi="宋体" w:eastAsia="宋体" w:cs="仿宋_GB2312"/>
          <w:b/>
          <w:kern w:val="0"/>
          <w:sz w:val="30"/>
          <w:szCs w:val="30"/>
          <w:lang w:val="zh-CN"/>
        </w:rPr>
        <w:t>采购</w:t>
      </w:r>
    </w:p>
    <w:p w14:paraId="552EED05">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3</w:t>
      </w:r>
      <w:r>
        <w:rPr>
          <w:rFonts w:ascii="宋体" w:hAnsi="宋体" w:eastAsia="宋体" w:cs="仿宋_GB2312"/>
          <w:b/>
          <w:kern w:val="0"/>
          <w:sz w:val="24"/>
          <w:lang w:val="zh-CN"/>
        </w:rPr>
        <w:t>8.</w:t>
      </w:r>
      <w:r>
        <w:rPr>
          <w:rFonts w:hint="eastAsia" w:ascii="宋体" w:hAnsi="宋体" w:eastAsia="宋体" w:cs="仿宋_GB2312"/>
          <w:b/>
          <w:kern w:val="0"/>
          <w:sz w:val="24"/>
          <w:lang w:val="zh-CN"/>
        </w:rPr>
        <w:t>重新采购</w:t>
      </w:r>
    </w:p>
    <w:p w14:paraId="0447BD39">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.1在谈判采购中，出现下列情形之一的，招标失败：</w:t>
      </w:r>
    </w:p>
    <w:p w14:paraId="4F32F678">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.1.1符合条件的供应商或都对谈判文件作实质响应的供应商不足三家；</w:t>
      </w:r>
    </w:p>
    <w:p w14:paraId="71262D5C">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.1.2出现影响采购公正的违法、违规行为的；</w:t>
      </w:r>
    </w:p>
    <w:p w14:paraId="60A72578">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.1.3响应谈判供应商的报价均超过了采购预算，采购人不能支付的；</w:t>
      </w:r>
    </w:p>
    <w:p w14:paraId="075560F6">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.1.4因重大变故，采购任务取消的。</w:t>
      </w:r>
    </w:p>
    <w:p w14:paraId="71757436">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.2谈判失败后，除采购任务取消外，应当重新组织谈判；需要采取其他方式采购的，应由长春净月高新技术产业开发区政府采购办公室重新下达任务单。</w:t>
      </w:r>
    </w:p>
    <w:p w14:paraId="41F83A52">
      <w:pPr>
        <w:pStyle w:val="50"/>
        <w:spacing w:line="360" w:lineRule="auto"/>
        <w:jc w:val="center"/>
        <w:outlineLvl w:val="1"/>
        <w:rPr>
          <w:rFonts w:ascii="宋体" w:hAnsi="宋体" w:eastAsia="宋体" w:cs="仿宋_GB2312"/>
          <w:b/>
          <w:kern w:val="0"/>
          <w:sz w:val="30"/>
          <w:szCs w:val="30"/>
          <w:lang w:val="zh-CN"/>
        </w:rPr>
      </w:pPr>
      <w:bookmarkStart w:id="30" w:name="_Toc103723526"/>
      <w:r>
        <w:rPr>
          <w:rFonts w:hint="eastAsia" w:ascii="宋体" w:hAnsi="宋体" w:eastAsia="宋体" w:cs="仿宋_GB2312"/>
          <w:b/>
          <w:kern w:val="0"/>
          <w:sz w:val="30"/>
          <w:szCs w:val="30"/>
          <w:lang w:val="zh-CN"/>
        </w:rPr>
        <w:t>十、纪律和监督</w:t>
      </w:r>
      <w:bookmarkEnd w:id="30"/>
    </w:p>
    <w:p w14:paraId="6AE23B9F">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3</w:t>
      </w:r>
      <w:r>
        <w:rPr>
          <w:rFonts w:ascii="宋体" w:hAnsi="宋体" w:eastAsia="宋体" w:cs="仿宋_GB2312"/>
          <w:b/>
          <w:kern w:val="0"/>
          <w:sz w:val="24"/>
          <w:lang w:val="zh-CN"/>
        </w:rPr>
        <w:t>9.</w:t>
      </w:r>
      <w:r>
        <w:rPr>
          <w:rFonts w:hint="eastAsia" w:ascii="宋体" w:hAnsi="宋体" w:eastAsia="宋体" w:cs="仿宋_GB2312"/>
          <w:b/>
          <w:kern w:val="0"/>
          <w:sz w:val="24"/>
          <w:lang w:val="zh-CN"/>
        </w:rPr>
        <w:t>对采购人的纪律要求</w:t>
      </w:r>
    </w:p>
    <w:p w14:paraId="041628D1">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采购人不得泄漏招标投标活动中应当保密的情况和资料，不得与响应谈判供应商串通损害国家利益、社会公共利益或者他人合法权益。</w:t>
      </w:r>
    </w:p>
    <w:p w14:paraId="61289CAF">
      <w:pPr>
        <w:pStyle w:val="50"/>
        <w:spacing w:line="360" w:lineRule="auto"/>
        <w:rPr>
          <w:rFonts w:ascii="宋体" w:hAnsi="宋体" w:eastAsia="宋体" w:cs="仿宋_GB2312"/>
          <w:b/>
          <w:kern w:val="0"/>
          <w:sz w:val="24"/>
          <w:lang w:val="zh-CN"/>
        </w:rPr>
      </w:pPr>
      <w:r>
        <w:rPr>
          <w:rFonts w:ascii="宋体" w:hAnsi="宋体" w:eastAsia="宋体" w:cs="仿宋_GB2312"/>
          <w:b/>
          <w:kern w:val="0"/>
          <w:sz w:val="24"/>
          <w:lang w:val="zh-CN"/>
        </w:rPr>
        <w:t>40.</w:t>
      </w:r>
      <w:r>
        <w:rPr>
          <w:rFonts w:hint="eastAsia" w:ascii="宋体" w:hAnsi="宋体" w:eastAsia="宋体" w:cs="仿宋_GB2312"/>
          <w:b/>
          <w:kern w:val="0"/>
          <w:sz w:val="24"/>
          <w:lang w:val="zh-CN"/>
        </w:rPr>
        <w:t>对响应谈判供应商的纪律要求</w:t>
      </w:r>
    </w:p>
    <w:p w14:paraId="6E0FDFB4">
      <w:pPr>
        <w:pStyle w:val="50"/>
        <w:spacing w:line="360" w:lineRule="auto"/>
        <w:ind w:firstLine="480" w:firstLineChars="200"/>
        <w:rPr>
          <w:rFonts w:ascii="宋体" w:hAnsi="宋体" w:eastAsia="宋体" w:cs="仿宋_GB2312"/>
          <w:kern w:val="0"/>
          <w:sz w:val="24"/>
          <w:lang w:val="zh-CN"/>
        </w:rPr>
      </w:pPr>
      <w:r>
        <w:rPr>
          <w:rFonts w:ascii="宋体" w:hAnsi="宋体" w:eastAsia="宋体" w:cs="仿宋_GB2312"/>
          <w:kern w:val="0"/>
          <w:sz w:val="24"/>
          <w:lang w:val="zh-CN"/>
        </w:rPr>
        <w:t>40</w:t>
      </w:r>
      <w:r>
        <w:rPr>
          <w:rFonts w:hint="eastAsia" w:ascii="宋体" w:hAnsi="宋体" w:eastAsia="宋体" w:cs="仿宋_GB2312"/>
          <w:kern w:val="0"/>
          <w:sz w:val="24"/>
          <w:lang w:val="zh-CN"/>
        </w:rPr>
        <w:t>.1响应谈判供应商不得相互串通或者与采购人串通投标，不得向采购人或都谈判小组行贿谋取中标，不得以他人名义投标或者其他方式弄虚作假骗取中标；响应谈判供应商不得以任何方式干扰、影响评审工作。</w:t>
      </w:r>
    </w:p>
    <w:p w14:paraId="7205FF70">
      <w:pPr>
        <w:pStyle w:val="50"/>
        <w:spacing w:line="360" w:lineRule="auto"/>
        <w:ind w:firstLine="482" w:firstLineChars="200"/>
        <w:rPr>
          <w:rFonts w:ascii="宋体" w:hAnsi="宋体" w:eastAsia="宋体" w:cs="仿宋_GB2312"/>
          <w:b/>
          <w:kern w:val="0"/>
          <w:sz w:val="24"/>
          <w:lang w:val="zh-CN"/>
        </w:rPr>
      </w:pPr>
      <w:r>
        <w:rPr>
          <w:rFonts w:ascii="宋体" w:hAnsi="宋体" w:eastAsia="宋体" w:cs="仿宋_GB2312"/>
          <w:b/>
          <w:kern w:val="0"/>
          <w:sz w:val="24"/>
          <w:lang w:val="zh-CN"/>
        </w:rPr>
        <w:t>40.2</w:t>
      </w:r>
      <w:r>
        <w:rPr>
          <w:rFonts w:hint="eastAsia" w:ascii="宋体" w:hAnsi="宋体" w:eastAsia="宋体" w:cs="仿宋_GB2312"/>
          <w:b/>
          <w:kern w:val="0"/>
          <w:sz w:val="24"/>
          <w:lang w:val="zh-CN"/>
        </w:rPr>
        <w:t>响应谈判</w:t>
      </w:r>
      <w:r>
        <w:rPr>
          <w:rFonts w:ascii="宋体" w:hAnsi="宋体" w:eastAsia="宋体" w:cs="仿宋_GB2312"/>
          <w:b/>
          <w:kern w:val="0"/>
          <w:sz w:val="24"/>
          <w:lang w:val="zh-CN"/>
        </w:rPr>
        <w:t>供应商应当遵循诚实信用原则，对资格条件承诺函有关内容的真实性、</w:t>
      </w:r>
      <w:r>
        <w:rPr>
          <w:rFonts w:hint="eastAsia" w:ascii="宋体" w:hAnsi="宋体" w:eastAsia="宋体" w:cs="仿宋_GB2312"/>
          <w:b/>
          <w:kern w:val="0"/>
          <w:sz w:val="24"/>
          <w:lang w:val="zh-CN"/>
        </w:rPr>
        <w:t>有效性</w:t>
      </w:r>
      <w:r>
        <w:rPr>
          <w:rFonts w:ascii="宋体" w:hAnsi="宋体" w:eastAsia="宋体" w:cs="仿宋_GB2312"/>
          <w:b/>
          <w:kern w:val="0"/>
          <w:sz w:val="24"/>
          <w:lang w:val="zh-CN"/>
        </w:rPr>
        <w:t>、合法性负责。如</w:t>
      </w:r>
      <w:r>
        <w:rPr>
          <w:rFonts w:hint="eastAsia" w:ascii="宋体" w:hAnsi="宋体" w:eastAsia="宋体" w:cs="仿宋_GB2312"/>
          <w:b/>
          <w:kern w:val="0"/>
          <w:sz w:val="24"/>
          <w:lang w:val="zh-CN"/>
        </w:rPr>
        <w:t>发现</w:t>
      </w:r>
      <w:r>
        <w:rPr>
          <w:rFonts w:ascii="宋体" w:hAnsi="宋体" w:eastAsia="宋体" w:cs="仿宋_GB2312"/>
          <w:b/>
          <w:kern w:val="0"/>
          <w:sz w:val="24"/>
          <w:lang w:val="zh-CN"/>
        </w:rPr>
        <w:t>承诺内容与事实情况不符，经调查核实为虚假承诺的，视同“</w:t>
      </w:r>
      <w:r>
        <w:rPr>
          <w:rFonts w:hint="eastAsia" w:ascii="宋体" w:hAnsi="宋体" w:eastAsia="宋体" w:cs="仿宋_GB2312"/>
          <w:b/>
          <w:kern w:val="0"/>
          <w:sz w:val="24"/>
          <w:lang w:val="zh-CN"/>
        </w:rPr>
        <w:t>提供</w:t>
      </w:r>
      <w:r>
        <w:rPr>
          <w:rFonts w:ascii="宋体" w:hAnsi="宋体" w:eastAsia="宋体" w:cs="仿宋_GB2312"/>
          <w:b/>
          <w:kern w:val="0"/>
          <w:sz w:val="24"/>
          <w:lang w:val="zh-CN"/>
        </w:rPr>
        <w:t>虚假材料谋取中标（</w:t>
      </w:r>
      <w:r>
        <w:rPr>
          <w:rFonts w:hint="eastAsia" w:ascii="宋体" w:hAnsi="宋体" w:eastAsia="宋体" w:cs="仿宋_GB2312"/>
          <w:b/>
          <w:kern w:val="0"/>
          <w:sz w:val="24"/>
          <w:lang w:val="zh-CN"/>
        </w:rPr>
        <w:t>成交</w:t>
      </w:r>
      <w:r>
        <w:rPr>
          <w:rFonts w:ascii="宋体" w:hAnsi="宋体" w:eastAsia="宋体" w:cs="仿宋_GB2312"/>
          <w:b/>
          <w:kern w:val="0"/>
          <w:sz w:val="24"/>
          <w:lang w:val="zh-CN"/>
        </w:rPr>
        <w:t>）”</w:t>
      </w:r>
      <w:r>
        <w:rPr>
          <w:rFonts w:hint="eastAsia" w:ascii="宋体" w:hAnsi="宋体" w:eastAsia="宋体" w:cs="仿宋_GB2312"/>
          <w:b/>
          <w:kern w:val="0"/>
          <w:sz w:val="24"/>
          <w:lang w:val="zh-CN"/>
        </w:rPr>
        <w:t>，</w:t>
      </w:r>
      <w:r>
        <w:rPr>
          <w:rFonts w:ascii="宋体" w:hAnsi="宋体" w:eastAsia="宋体" w:cs="仿宋_GB2312"/>
          <w:b/>
          <w:kern w:val="0"/>
          <w:sz w:val="24"/>
          <w:lang w:val="zh-CN"/>
        </w:rPr>
        <w:t>按照《</w:t>
      </w:r>
      <w:r>
        <w:rPr>
          <w:rFonts w:hint="eastAsia" w:ascii="宋体" w:hAnsi="宋体" w:eastAsia="宋体" w:cs="仿宋_GB2312"/>
          <w:b/>
          <w:kern w:val="0"/>
          <w:sz w:val="24"/>
          <w:lang w:val="zh-CN"/>
        </w:rPr>
        <w:t>中华人民共和国</w:t>
      </w:r>
      <w:r>
        <w:rPr>
          <w:rFonts w:ascii="宋体" w:hAnsi="宋体" w:eastAsia="宋体" w:cs="仿宋_GB2312"/>
          <w:b/>
          <w:kern w:val="0"/>
          <w:sz w:val="24"/>
          <w:lang w:val="zh-CN"/>
        </w:rPr>
        <w:t>政府采购法》</w:t>
      </w:r>
      <w:r>
        <w:rPr>
          <w:rFonts w:hint="eastAsia" w:ascii="宋体" w:hAnsi="宋体" w:eastAsia="宋体" w:cs="仿宋_GB2312"/>
          <w:b/>
          <w:kern w:val="0"/>
          <w:sz w:val="24"/>
          <w:lang w:val="zh-CN"/>
        </w:rPr>
        <w:t>第</w:t>
      </w:r>
      <w:r>
        <w:rPr>
          <w:rFonts w:ascii="宋体" w:hAnsi="宋体" w:eastAsia="宋体" w:cs="仿宋_GB2312"/>
          <w:b/>
          <w:kern w:val="0"/>
          <w:sz w:val="24"/>
          <w:lang w:val="zh-CN"/>
        </w:rPr>
        <w:t>七十七条的有关规定进行处理处罚。</w:t>
      </w:r>
    </w:p>
    <w:p w14:paraId="6B25600D">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4</w:t>
      </w:r>
      <w:r>
        <w:rPr>
          <w:rFonts w:ascii="宋体" w:hAnsi="宋体" w:eastAsia="宋体" w:cs="仿宋_GB2312"/>
          <w:b/>
          <w:kern w:val="0"/>
          <w:sz w:val="24"/>
          <w:lang w:val="zh-CN"/>
        </w:rPr>
        <w:t>1.</w:t>
      </w:r>
      <w:r>
        <w:rPr>
          <w:rFonts w:hint="eastAsia" w:ascii="宋体" w:hAnsi="宋体" w:eastAsia="宋体" w:cs="仿宋_GB2312"/>
          <w:b/>
          <w:kern w:val="0"/>
          <w:sz w:val="24"/>
          <w:lang w:val="zh-CN"/>
        </w:rPr>
        <w:t>对评审委会员的纪律要求</w:t>
      </w:r>
    </w:p>
    <w:p w14:paraId="13E2B003">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谈判小组不得收受他人的财物或者其他好处，不得向他们透漏对谈判响应文件的评审和比较、中标候选人的推荐情况以及评审的其他情况。在评审活动中，谈判小组成员不得擅离职守，影响评审程序正常进行，不得使用第四章“评审办法”没有规定的评审因素和标准进行评审。</w:t>
      </w:r>
    </w:p>
    <w:p w14:paraId="7A871C1B">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4</w:t>
      </w:r>
      <w:r>
        <w:rPr>
          <w:rFonts w:ascii="宋体" w:hAnsi="宋体" w:eastAsia="宋体" w:cs="仿宋_GB2312"/>
          <w:b/>
          <w:kern w:val="0"/>
          <w:sz w:val="24"/>
          <w:lang w:val="zh-CN"/>
        </w:rPr>
        <w:t>2.</w:t>
      </w:r>
      <w:r>
        <w:rPr>
          <w:rFonts w:hint="eastAsia" w:ascii="宋体" w:hAnsi="宋体" w:eastAsia="宋体" w:cs="仿宋_GB2312"/>
          <w:b/>
          <w:kern w:val="0"/>
          <w:sz w:val="24"/>
          <w:lang w:val="zh-CN"/>
        </w:rPr>
        <w:t>对与评审活动有关的工作人员的纪律要求</w:t>
      </w:r>
    </w:p>
    <w:p w14:paraId="2C4E40C7">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与评审活动有关的工作人员不得收受他人的财物或者其他好处，不得向他们透漏对谈判响应文件的评审和比较、成交供应商候选人的推荐情况及评审有关的其他情况。在评审活动中，与评审活动有关的工作人员不得擅离职守，影响评审程序正常进行。</w:t>
      </w:r>
    </w:p>
    <w:p w14:paraId="5117EDA1">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4</w:t>
      </w:r>
      <w:r>
        <w:rPr>
          <w:rFonts w:ascii="宋体" w:hAnsi="宋体" w:eastAsia="宋体" w:cs="仿宋_GB2312"/>
          <w:b/>
          <w:kern w:val="0"/>
          <w:sz w:val="24"/>
          <w:lang w:val="zh-CN"/>
        </w:rPr>
        <w:t>3.</w:t>
      </w:r>
      <w:r>
        <w:rPr>
          <w:rFonts w:hint="eastAsia" w:ascii="宋体" w:hAnsi="宋体" w:eastAsia="宋体" w:cs="仿宋_GB2312"/>
          <w:b/>
          <w:kern w:val="0"/>
          <w:sz w:val="24"/>
          <w:lang w:val="zh-CN"/>
        </w:rPr>
        <w:t>质疑与投诉</w:t>
      </w:r>
    </w:p>
    <w:p w14:paraId="1E042370">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4</w:t>
      </w:r>
      <w:r>
        <w:rPr>
          <w:rFonts w:ascii="宋体" w:hAnsi="宋体" w:eastAsia="宋体" w:cs="仿宋_GB2312"/>
          <w:kern w:val="0"/>
          <w:sz w:val="24"/>
          <w:lang w:val="zh-CN"/>
        </w:rPr>
        <w:t>3</w:t>
      </w:r>
      <w:r>
        <w:rPr>
          <w:rFonts w:hint="eastAsia" w:ascii="宋体" w:hAnsi="宋体" w:eastAsia="宋体" w:cs="仿宋_GB2312"/>
          <w:kern w:val="0"/>
          <w:sz w:val="24"/>
          <w:lang w:val="zh-CN"/>
        </w:rPr>
        <w:t>.1响应谈判供应商认为采购文件、采购过程、中标或者成交结果使自己的权益受到损害的，可以在知道或者应知其权益受到损害之日起7个工作日内,针对同一采购程序环节，以书面形式向采购人、集中采购机构一次性提出质疑。</w:t>
      </w:r>
    </w:p>
    <w:p w14:paraId="1FD05362">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4</w:t>
      </w:r>
      <w:r>
        <w:rPr>
          <w:rFonts w:ascii="宋体" w:hAnsi="宋体" w:eastAsia="宋体" w:cs="仿宋_GB2312"/>
          <w:kern w:val="0"/>
          <w:sz w:val="24"/>
          <w:lang w:val="zh-CN"/>
        </w:rPr>
        <w:t>3</w:t>
      </w:r>
      <w:r>
        <w:rPr>
          <w:rFonts w:hint="eastAsia" w:ascii="宋体" w:hAnsi="宋体" w:eastAsia="宋体" w:cs="仿宋_GB2312"/>
          <w:kern w:val="0"/>
          <w:sz w:val="24"/>
          <w:lang w:val="zh-CN"/>
        </w:rPr>
        <w:t>.2响应谈判供应商和其他利害关系人认为本次采购活动违反法律、法规和规章规定的，对质疑答复不满意的或者采购人、集中采购机构未在规定时间内作出答复的，在法定期限内有权向长春净月高新技术产业开发政府采购办公室投诉。</w:t>
      </w:r>
    </w:p>
    <w:p w14:paraId="161BAC53">
      <w:pPr>
        <w:pStyle w:val="50"/>
        <w:jc w:val="center"/>
        <w:outlineLvl w:val="0"/>
        <w:rPr>
          <w:rFonts w:ascii="宋体" w:hAnsi="宋体" w:eastAsia="宋体" w:cs="仿宋_GB2312"/>
          <w:b/>
          <w:kern w:val="0"/>
          <w:sz w:val="36"/>
          <w:szCs w:val="36"/>
          <w:lang w:val="zh-CN"/>
        </w:rPr>
      </w:pPr>
      <w:bookmarkStart w:id="31" w:name="_Toc103723527"/>
    </w:p>
    <w:p w14:paraId="3EAE97D6">
      <w:pPr>
        <w:pStyle w:val="50"/>
        <w:jc w:val="center"/>
        <w:outlineLvl w:val="0"/>
        <w:rPr>
          <w:rFonts w:ascii="宋体" w:hAnsi="宋体" w:eastAsia="宋体" w:cs="仿宋_GB2312"/>
          <w:b/>
          <w:kern w:val="0"/>
          <w:sz w:val="36"/>
          <w:szCs w:val="36"/>
          <w:lang w:val="zh-CN"/>
        </w:rPr>
      </w:pPr>
    </w:p>
    <w:p w14:paraId="4B03C29C">
      <w:pPr>
        <w:pStyle w:val="50"/>
        <w:jc w:val="center"/>
        <w:outlineLvl w:val="0"/>
        <w:rPr>
          <w:rFonts w:ascii="宋体" w:hAnsi="宋体" w:eastAsia="宋体" w:cs="仿宋_GB2312"/>
          <w:b/>
          <w:kern w:val="0"/>
          <w:sz w:val="36"/>
          <w:szCs w:val="36"/>
          <w:lang w:val="zh-CN"/>
        </w:rPr>
      </w:pPr>
    </w:p>
    <w:p w14:paraId="6A4DBAA7">
      <w:pPr>
        <w:pStyle w:val="50"/>
        <w:jc w:val="center"/>
        <w:outlineLvl w:val="0"/>
        <w:rPr>
          <w:rFonts w:ascii="宋体" w:hAnsi="宋体" w:eastAsia="宋体" w:cs="仿宋_GB2312"/>
          <w:b/>
          <w:kern w:val="0"/>
          <w:sz w:val="36"/>
          <w:szCs w:val="36"/>
          <w:lang w:val="zh-CN"/>
        </w:rPr>
      </w:pPr>
    </w:p>
    <w:p w14:paraId="42FE8CA8">
      <w:pPr>
        <w:pStyle w:val="50"/>
        <w:jc w:val="center"/>
        <w:outlineLvl w:val="0"/>
        <w:rPr>
          <w:rFonts w:ascii="宋体" w:hAnsi="宋体" w:eastAsia="宋体" w:cs="仿宋_GB2312"/>
          <w:b/>
          <w:kern w:val="0"/>
          <w:sz w:val="36"/>
          <w:szCs w:val="36"/>
          <w:lang w:val="zh-CN"/>
        </w:rPr>
      </w:pPr>
    </w:p>
    <w:p w14:paraId="3A66E9C4">
      <w:pPr>
        <w:pStyle w:val="50"/>
        <w:jc w:val="center"/>
        <w:outlineLvl w:val="0"/>
        <w:rPr>
          <w:rFonts w:ascii="宋体" w:hAnsi="宋体" w:eastAsia="宋体" w:cs="仿宋_GB2312"/>
          <w:b/>
          <w:kern w:val="0"/>
          <w:sz w:val="36"/>
          <w:szCs w:val="36"/>
          <w:lang w:val="zh-CN"/>
        </w:rPr>
      </w:pPr>
    </w:p>
    <w:p w14:paraId="1922CACA">
      <w:pPr>
        <w:pStyle w:val="50"/>
        <w:jc w:val="center"/>
        <w:outlineLvl w:val="0"/>
        <w:rPr>
          <w:rFonts w:ascii="宋体" w:hAnsi="宋体" w:eastAsia="宋体" w:cs="仿宋_GB2312"/>
          <w:b/>
          <w:kern w:val="0"/>
          <w:sz w:val="36"/>
          <w:szCs w:val="36"/>
          <w:lang w:val="zh-CN"/>
        </w:rPr>
      </w:pPr>
    </w:p>
    <w:p w14:paraId="66CA5EE7">
      <w:pPr>
        <w:pStyle w:val="50"/>
        <w:jc w:val="center"/>
        <w:outlineLvl w:val="0"/>
        <w:rPr>
          <w:rFonts w:ascii="宋体" w:hAnsi="宋体" w:eastAsia="宋体" w:cs="仿宋_GB2312"/>
          <w:b/>
          <w:kern w:val="0"/>
          <w:sz w:val="36"/>
          <w:szCs w:val="36"/>
          <w:lang w:val="zh-CN"/>
        </w:rPr>
      </w:pPr>
    </w:p>
    <w:p w14:paraId="7CA7B49B">
      <w:pPr>
        <w:pStyle w:val="50"/>
        <w:jc w:val="center"/>
        <w:outlineLvl w:val="0"/>
        <w:rPr>
          <w:rFonts w:ascii="宋体" w:hAnsi="宋体" w:eastAsia="宋体" w:cs="仿宋_GB2312"/>
          <w:b/>
          <w:kern w:val="0"/>
          <w:sz w:val="36"/>
          <w:szCs w:val="36"/>
          <w:lang w:val="zh-CN"/>
        </w:rPr>
      </w:pPr>
    </w:p>
    <w:p w14:paraId="48C8A5B4">
      <w:pPr>
        <w:pStyle w:val="50"/>
        <w:jc w:val="center"/>
        <w:outlineLvl w:val="0"/>
        <w:rPr>
          <w:rFonts w:ascii="宋体" w:hAnsi="宋体" w:eastAsia="宋体" w:cs="仿宋_GB2312"/>
          <w:b/>
          <w:kern w:val="0"/>
          <w:sz w:val="36"/>
          <w:szCs w:val="36"/>
          <w:lang w:val="zh-CN"/>
        </w:rPr>
      </w:pPr>
    </w:p>
    <w:p w14:paraId="5489CCEC">
      <w:pPr>
        <w:pStyle w:val="50"/>
        <w:jc w:val="center"/>
        <w:outlineLvl w:val="0"/>
        <w:rPr>
          <w:rFonts w:ascii="宋体" w:hAnsi="宋体" w:eastAsia="宋体" w:cs="仿宋_GB2312"/>
          <w:b/>
          <w:kern w:val="0"/>
          <w:sz w:val="48"/>
          <w:szCs w:val="48"/>
          <w:lang w:val="zh-CN"/>
        </w:rPr>
      </w:pPr>
      <w:r>
        <w:rPr>
          <w:rFonts w:hint="eastAsia" w:ascii="宋体" w:hAnsi="宋体" w:eastAsia="宋体" w:cs="仿宋_GB2312"/>
          <w:b/>
          <w:kern w:val="0"/>
          <w:sz w:val="36"/>
          <w:szCs w:val="36"/>
          <w:lang w:val="zh-CN"/>
        </w:rPr>
        <w:t>第四章</w:t>
      </w:r>
      <w:r>
        <w:rPr>
          <w:rFonts w:ascii="宋体" w:hAnsi="宋体" w:eastAsia="宋体" w:cs="仿宋_GB2312"/>
          <w:b/>
          <w:kern w:val="0"/>
          <w:sz w:val="36"/>
          <w:szCs w:val="36"/>
          <w:lang w:val="zh-CN"/>
        </w:rPr>
        <w:br w:type="textWrapping"/>
      </w:r>
      <w:r>
        <w:rPr>
          <w:rFonts w:ascii="宋体" w:hAnsi="宋体" w:eastAsia="宋体" w:cs="仿宋_GB2312"/>
          <w:b/>
          <w:kern w:val="0"/>
          <w:sz w:val="36"/>
          <w:szCs w:val="36"/>
          <w:lang w:val="zh-CN"/>
        </w:rPr>
        <w:br w:type="textWrapping"/>
      </w:r>
      <w:r>
        <w:rPr>
          <w:rFonts w:hint="eastAsia" w:ascii="宋体" w:hAnsi="宋体" w:eastAsia="宋体" w:cs="仿宋_GB2312"/>
          <w:b/>
          <w:kern w:val="0"/>
          <w:sz w:val="36"/>
          <w:szCs w:val="36"/>
          <w:lang w:val="zh-CN"/>
        </w:rPr>
        <w:t>政府采购合同</w:t>
      </w:r>
      <w:bookmarkEnd w:id="31"/>
    </w:p>
    <w:p w14:paraId="45874E1B">
      <w:pPr>
        <w:pStyle w:val="50"/>
        <w:spacing w:line="360" w:lineRule="auto"/>
        <w:ind w:firstLine="480" w:firstLineChars="200"/>
        <w:rPr>
          <w:rFonts w:ascii="宋体" w:hAnsi="宋体" w:eastAsia="宋体" w:cs="仿宋_GB2312"/>
          <w:kern w:val="0"/>
          <w:sz w:val="24"/>
          <w:lang w:val="zh-CN"/>
        </w:rPr>
      </w:pPr>
    </w:p>
    <w:p w14:paraId="72CC2983">
      <w:pPr>
        <w:pStyle w:val="37"/>
        <w:spacing w:line="360" w:lineRule="auto"/>
      </w:pPr>
    </w:p>
    <w:p w14:paraId="1D618047">
      <w:pPr>
        <w:pStyle w:val="50"/>
        <w:spacing w:line="360" w:lineRule="auto"/>
        <w:ind w:firstLine="480" w:firstLineChars="200"/>
        <w:rPr>
          <w:rFonts w:ascii="宋体" w:hAnsi="宋体" w:eastAsia="宋体" w:cs="仿宋_GB2312"/>
          <w:kern w:val="0"/>
          <w:sz w:val="24"/>
          <w:lang w:val="zh-CN"/>
        </w:rPr>
      </w:pPr>
    </w:p>
    <w:p w14:paraId="4082D6AB">
      <w:pPr>
        <w:pStyle w:val="50"/>
        <w:spacing w:line="360" w:lineRule="auto"/>
        <w:ind w:firstLine="480" w:firstLineChars="200"/>
        <w:rPr>
          <w:rFonts w:ascii="宋体" w:hAnsi="宋体" w:eastAsia="宋体" w:cs="仿宋_GB2312"/>
          <w:kern w:val="0"/>
          <w:sz w:val="24"/>
          <w:lang w:val="zh-CN"/>
        </w:rPr>
      </w:pPr>
    </w:p>
    <w:p w14:paraId="767244C5">
      <w:pPr>
        <w:pStyle w:val="50"/>
        <w:spacing w:line="360" w:lineRule="auto"/>
        <w:ind w:firstLine="480" w:firstLineChars="200"/>
        <w:rPr>
          <w:rFonts w:ascii="宋体" w:hAnsi="宋体" w:eastAsia="宋体" w:cs="仿宋_GB2312"/>
          <w:kern w:val="0"/>
          <w:sz w:val="24"/>
          <w:lang w:val="zh-CN"/>
        </w:rPr>
      </w:pPr>
    </w:p>
    <w:p w14:paraId="18C533ED">
      <w:pPr>
        <w:pStyle w:val="50"/>
        <w:spacing w:line="360" w:lineRule="auto"/>
        <w:rPr>
          <w:rFonts w:ascii="宋体" w:hAnsi="宋体" w:eastAsia="宋体" w:cs="仿宋_GB2312"/>
          <w:kern w:val="0"/>
          <w:sz w:val="24"/>
          <w:lang w:val="zh-CN"/>
        </w:rPr>
      </w:pPr>
    </w:p>
    <w:p w14:paraId="6065D666">
      <w:pPr>
        <w:widowControl/>
        <w:jc w:val="left"/>
        <w:rPr>
          <w:rFonts w:ascii="宋体" w:hAnsi="宋体" w:cs="仿宋_GB2312"/>
          <w:kern w:val="0"/>
          <w:sz w:val="24"/>
          <w:szCs w:val="20"/>
          <w:lang w:val="zh-CN"/>
        </w:rPr>
      </w:pPr>
      <w:r>
        <w:rPr>
          <w:rFonts w:ascii="宋体" w:hAnsi="宋体" w:cs="仿宋_GB2312"/>
          <w:kern w:val="0"/>
          <w:sz w:val="24"/>
          <w:lang w:val="zh-CN"/>
        </w:rPr>
        <w:br w:type="page"/>
      </w:r>
    </w:p>
    <w:p w14:paraId="3DDEF5F3">
      <w:pPr>
        <w:adjustRightInd w:val="0"/>
        <w:snapToGrid w:val="0"/>
        <w:spacing w:line="360" w:lineRule="auto"/>
        <w:jc w:val="center"/>
        <w:rPr>
          <w:rFonts w:ascii="宋体" w:hAnsi="宋体"/>
          <w:b/>
          <w:bCs/>
          <w:snapToGrid w:val="0"/>
          <w:kern w:val="0"/>
          <w:szCs w:val="21"/>
        </w:rPr>
        <w:sectPr>
          <w:footerReference r:id="rId13" w:type="default"/>
          <w:pgSz w:w="11907" w:h="16840"/>
          <w:pgMar w:top="1134" w:right="1134" w:bottom="1134" w:left="1418" w:header="1021" w:footer="1021" w:gutter="0"/>
          <w:cols w:space="720" w:num="1"/>
          <w:docGrid w:linePitch="271" w:charSpace="0"/>
        </w:sectPr>
      </w:pPr>
    </w:p>
    <w:p w14:paraId="2D8E3E86">
      <w:pPr>
        <w:pStyle w:val="16"/>
        <w:jc w:val="center"/>
        <w:rPr>
          <w:rFonts w:ascii="宋体" w:hAnsi="宋体" w:cs="宋体"/>
          <w:b w:val="0"/>
          <w:bCs w:val="0"/>
          <w:spacing w:val="-20"/>
          <w:kern w:val="44"/>
          <w:sz w:val="48"/>
          <w:szCs w:val="48"/>
        </w:rPr>
      </w:pPr>
      <w:bookmarkStart w:id="32" w:name="_Toc3995"/>
    </w:p>
    <w:p w14:paraId="45016CF3">
      <w:pPr>
        <w:pStyle w:val="16"/>
        <w:jc w:val="center"/>
        <w:rPr>
          <w:rFonts w:ascii="宋体" w:hAnsi="宋体" w:cs="宋体"/>
          <w:b w:val="0"/>
          <w:bCs w:val="0"/>
          <w:spacing w:val="-20"/>
          <w:kern w:val="44"/>
          <w:sz w:val="48"/>
          <w:szCs w:val="48"/>
        </w:rPr>
      </w:pPr>
    </w:p>
    <w:p w14:paraId="62BD910C">
      <w:pPr>
        <w:pStyle w:val="16"/>
        <w:jc w:val="center"/>
        <w:rPr>
          <w:rFonts w:ascii="宋体" w:hAnsi="宋体" w:cs="宋体"/>
          <w:b w:val="0"/>
          <w:bCs w:val="0"/>
          <w:spacing w:val="-20"/>
          <w:kern w:val="44"/>
          <w:sz w:val="48"/>
          <w:szCs w:val="48"/>
        </w:rPr>
      </w:pPr>
    </w:p>
    <w:p w14:paraId="1D727358">
      <w:pPr>
        <w:pStyle w:val="16"/>
        <w:jc w:val="center"/>
        <w:rPr>
          <w:rFonts w:ascii="宋体" w:hAnsi="宋体" w:cs="宋体"/>
          <w:b w:val="0"/>
          <w:bCs w:val="0"/>
          <w:spacing w:val="-20"/>
          <w:kern w:val="44"/>
          <w:sz w:val="48"/>
          <w:szCs w:val="48"/>
        </w:rPr>
      </w:pPr>
    </w:p>
    <w:p w14:paraId="4ABFC5B8">
      <w:pPr>
        <w:pStyle w:val="16"/>
        <w:jc w:val="center"/>
        <w:rPr>
          <w:rFonts w:ascii="宋体" w:hAnsi="宋体" w:cs="宋体"/>
          <w:b w:val="0"/>
          <w:bCs w:val="0"/>
          <w:spacing w:val="-20"/>
          <w:kern w:val="44"/>
          <w:sz w:val="48"/>
          <w:szCs w:val="48"/>
        </w:rPr>
      </w:pPr>
    </w:p>
    <w:p w14:paraId="3A10FA03">
      <w:pPr>
        <w:pStyle w:val="16"/>
        <w:jc w:val="center"/>
        <w:rPr>
          <w:rFonts w:ascii="宋体" w:hAnsi="宋体" w:cs="宋体"/>
          <w:b w:val="0"/>
          <w:bCs w:val="0"/>
          <w:spacing w:val="-20"/>
          <w:kern w:val="44"/>
          <w:sz w:val="48"/>
          <w:szCs w:val="48"/>
        </w:rPr>
      </w:pPr>
      <w:r>
        <w:rPr>
          <w:rFonts w:hint="eastAsia" w:ascii="宋体" w:hAnsi="宋体" w:cs="宋体"/>
          <w:spacing w:val="-20"/>
          <w:kern w:val="44"/>
          <w:sz w:val="48"/>
          <w:szCs w:val="48"/>
        </w:rPr>
        <w:t>政府采购货物买卖合同</w:t>
      </w:r>
    </w:p>
    <w:p w14:paraId="38541A95">
      <w:pPr>
        <w:pStyle w:val="16"/>
        <w:jc w:val="center"/>
        <w:rPr>
          <w:rFonts w:ascii="宋体" w:hAnsi="宋体" w:cs="宋体"/>
          <w:b w:val="0"/>
          <w:bCs w:val="0"/>
          <w:spacing w:val="-20"/>
          <w:kern w:val="44"/>
          <w:sz w:val="48"/>
          <w:szCs w:val="48"/>
        </w:rPr>
      </w:pPr>
      <w:r>
        <w:rPr>
          <w:rFonts w:hint="eastAsia" w:ascii="宋体" w:hAnsi="宋体" w:cs="宋体"/>
          <w:spacing w:val="-20"/>
          <w:kern w:val="44"/>
          <w:sz w:val="48"/>
          <w:szCs w:val="48"/>
        </w:rPr>
        <w:t>（试行）</w:t>
      </w:r>
    </w:p>
    <w:p w14:paraId="0D8CA9A3">
      <w:pPr>
        <w:rPr>
          <w:rFonts w:ascii="宋体" w:hAnsi="宋体" w:cs="宋体"/>
          <w:b/>
          <w:bCs/>
          <w:spacing w:val="-20"/>
          <w:kern w:val="44"/>
          <w:sz w:val="40"/>
          <w:szCs w:val="40"/>
        </w:rPr>
      </w:pPr>
    </w:p>
    <w:p w14:paraId="68548E15">
      <w:pPr>
        <w:rPr>
          <w:rFonts w:ascii="宋体" w:hAnsi="宋体" w:cs="宋体"/>
          <w:b/>
          <w:bCs/>
          <w:spacing w:val="-20"/>
          <w:kern w:val="44"/>
          <w:sz w:val="40"/>
          <w:szCs w:val="40"/>
        </w:rPr>
      </w:pPr>
    </w:p>
    <w:p w14:paraId="0EDB9A7E">
      <w:pPr>
        <w:rPr>
          <w:rFonts w:ascii="宋体" w:hAnsi="宋体" w:cs="宋体"/>
          <w:b/>
          <w:bCs/>
          <w:spacing w:val="-20"/>
          <w:kern w:val="44"/>
          <w:sz w:val="40"/>
          <w:szCs w:val="40"/>
        </w:rPr>
      </w:pPr>
    </w:p>
    <w:p w14:paraId="19C2859A">
      <w:pPr>
        <w:spacing w:line="360" w:lineRule="auto"/>
        <w:ind w:left="420" w:leftChars="200"/>
        <w:rPr>
          <w:sz w:val="32"/>
          <w:szCs w:val="32"/>
        </w:rPr>
      </w:pPr>
      <w:r>
        <w:rPr>
          <w:rFonts w:hint="eastAsia" w:ascii="宋体" w:hAnsi="宋体" w:cs="宋体"/>
          <w:kern w:val="0"/>
          <w:sz w:val="32"/>
          <w:szCs w:val="32"/>
        </w:rPr>
        <w:t>项目名称：</w:t>
      </w:r>
      <w:r>
        <w:rPr>
          <w:rFonts w:hint="eastAsia"/>
          <w:sz w:val="32"/>
          <w:szCs w:val="32"/>
          <w:u w:val="single"/>
        </w:rPr>
        <w:t xml:space="preserve">                             </w:t>
      </w:r>
    </w:p>
    <w:p w14:paraId="568C36C4">
      <w:pPr>
        <w:spacing w:line="360" w:lineRule="auto"/>
        <w:ind w:left="420" w:leftChars="200"/>
        <w:rPr>
          <w:sz w:val="32"/>
          <w:szCs w:val="32"/>
          <w:u w:val="single"/>
        </w:rPr>
      </w:pPr>
      <w:r>
        <w:rPr>
          <w:rFonts w:hint="eastAsia"/>
          <w:sz w:val="32"/>
          <w:szCs w:val="32"/>
        </w:rPr>
        <w:t>合同编号：</w:t>
      </w:r>
      <w:r>
        <w:rPr>
          <w:rFonts w:hint="eastAsia"/>
          <w:sz w:val="32"/>
          <w:szCs w:val="32"/>
          <w:u w:val="single"/>
        </w:rPr>
        <w:t xml:space="preserve">                             </w:t>
      </w:r>
    </w:p>
    <w:p w14:paraId="5C1DE487">
      <w:pPr>
        <w:spacing w:line="360" w:lineRule="auto"/>
        <w:ind w:left="420" w:leftChars="200"/>
        <w:rPr>
          <w:sz w:val="32"/>
          <w:szCs w:val="32"/>
        </w:rPr>
      </w:pPr>
      <w:r>
        <w:rPr>
          <w:rFonts w:hint="eastAsia"/>
          <w:sz w:val="32"/>
          <w:szCs w:val="32"/>
        </w:rPr>
        <w:t>甲    方：</w:t>
      </w:r>
      <w:r>
        <w:rPr>
          <w:rFonts w:hint="eastAsia"/>
          <w:sz w:val="32"/>
          <w:szCs w:val="32"/>
          <w:u w:val="single"/>
        </w:rPr>
        <w:t xml:space="preserve">                             </w:t>
      </w:r>
    </w:p>
    <w:p w14:paraId="01D4FB65">
      <w:pPr>
        <w:spacing w:line="360" w:lineRule="auto"/>
        <w:ind w:left="420" w:leftChars="200"/>
        <w:rPr>
          <w:sz w:val="32"/>
          <w:szCs w:val="32"/>
          <w:u w:val="single"/>
        </w:rPr>
      </w:pPr>
      <w:r>
        <w:rPr>
          <w:rFonts w:hint="eastAsia"/>
          <w:sz w:val="32"/>
          <w:szCs w:val="32"/>
        </w:rPr>
        <w:t>乙    方：</w:t>
      </w:r>
      <w:r>
        <w:rPr>
          <w:rFonts w:hint="eastAsia"/>
          <w:sz w:val="32"/>
          <w:szCs w:val="32"/>
          <w:u w:val="single"/>
        </w:rPr>
        <w:t xml:space="preserve">                             </w:t>
      </w:r>
    </w:p>
    <w:p w14:paraId="62BCF7D4">
      <w:pPr>
        <w:spacing w:line="360" w:lineRule="auto"/>
        <w:ind w:left="420" w:leftChars="200"/>
        <w:rPr>
          <w:sz w:val="32"/>
          <w:szCs w:val="32"/>
        </w:rPr>
      </w:pPr>
      <w:r>
        <w:rPr>
          <w:rFonts w:hint="eastAsia"/>
          <w:sz w:val="32"/>
          <w:szCs w:val="32"/>
        </w:rPr>
        <w:t>签订时间：</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14:paraId="067C6B52"/>
    <w:p w14:paraId="6E2DD119">
      <w:pPr>
        <w:rPr>
          <w:rFonts w:eastAsia="黑体"/>
          <w:sz w:val="44"/>
          <w:szCs w:val="44"/>
        </w:rPr>
      </w:pPr>
      <w:r>
        <w:rPr>
          <w:rFonts w:eastAsia="黑体"/>
          <w:sz w:val="44"/>
          <w:szCs w:val="44"/>
        </w:rPr>
        <w:br w:type="page"/>
      </w:r>
    </w:p>
    <w:p w14:paraId="6EBBA1A4">
      <w:pPr>
        <w:rPr>
          <w:rFonts w:eastAsia="黑体"/>
          <w:sz w:val="44"/>
          <w:szCs w:val="44"/>
        </w:rPr>
      </w:pPr>
    </w:p>
    <w:p w14:paraId="2F3510A2">
      <w:pPr>
        <w:rPr>
          <w:rFonts w:eastAsia="黑体"/>
          <w:sz w:val="44"/>
          <w:szCs w:val="44"/>
        </w:rPr>
      </w:pPr>
    </w:p>
    <w:p w14:paraId="21CBDAAA">
      <w:pPr>
        <w:jc w:val="center"/>
        <w:rPr>
          <w:rFonts w:eastAsia="黑体"/>
          <w:sz w:val="44"/>
          <w:szCs w:val="44"/>
        </w:rPr>
      </w:pPr>
      <w:r>
        <w:rPr>
          <w:rFonts w:hint="eastAsia" w:eastAsia="黑体"/>
          <w:sz w:val="44"/>
          <w:szCs w:val="44"/>
        </w:rPr>
        <w:t>使 用 说 明</w:t>
      </w:r>
    </w:p>
    <w:p w14:paraId="24906DFF">
      <w:pPr>
        <w:ind w:firstLine="640" w:firstLineChars="200"/>
        <w:rPr>
          <w:rFonts w:ascii="仿宋_GB2312" w:hAnsi="仿宋_GB2312" w:eastAsia="仿宋_GB2312" w:cs="仿宋_GB2312"/>
          <w:sz w:val="32"/>
          <w:szCs w:val="32"/>
        </w:rPr>
      </w:pPr>
    </w:p>
    <w:p w14:paraId="53D898F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1.本合同标准文本适用于购买现成货物的采购项目，不包括需要供应商定制开发、创新研发的货物采购项目。</w:t>
      </w:r>
    </w:p>
    <w:p w14:paraId="37721B72">
      <w:pPr>
        <w:rPr>
          <w:rFonts w:eastAsia="黑体"/>
          <w:sz w:val="44"/>
          <w:szCs w:val="44"/>
        </w:rPr>
      </w:pPr>
      <w:r>
        <w:rPr>
          <w:rFonts w:hint="eastAsia" w:eastAsia="黑体"/>
          <w:sz w:val="44"/>
          <w:szCs w:val="44"/>
        </w:rPr>
        <w:t xml:space="preserve">   </w:t>
      </w:r>
      <w:r>
        <w:rPr>
          <w:rFonts w:hint="eastAsia" w:ascii="仿宋_GB2312" w:hAnsi="仿宋_GB2312" w:eastAsia="仿宋_GB2312" w:cs="仿宋_GB2312"/>
          <w:sz w:val="32"/>
          <w:szCs w:val="32"/>
        </w:rPr>
        <w:t>2.本合同标准文本为政府采购货物买卖合同编制提供参考，可以结合采购项目具体情况，对文本作必要的调整修订后使用。</w:t>
      </w:r>
    </w:p>
    <w:p w14:paraId="2F93AFB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3.本合同标准文本各条款中，如涉及填写多家供应商、制造商，多种采购标的、分包主要内容等信息的，可根据采购项目具体情况添加信息项。</w:t>
      </w:r>
    </w:p>
    <w:p w14:paraId="4FC8EE60">
      <w:pPr>
        <w:ind w:firstLine="880" w:firstLineChars="200"/>
        <w:rPr>
          <w:rFonts w:eastAsia="黑体"/>
          <w:sz w:val="44"/>
          <w:szCs w:val="44"/>
        </w:rPr>
        <w:sectPr>
          <w:pgSz w:w="11906" w:h="16838"/>
          <w:pgMar w:top="1440" w:right="1800" w:bottom="1440" w:left="1800" w:header="851" w:footer="992" w:gutter="0"/>
          <w:cols w:space="425" w:num="1"/>
          <w:docGrid w:type="lines" w:linePitch="312" w:charSpace="0"/>
        </w:sectPr>
      </w:pPr>
    </w:p>
    <w:bookmarkEnd w:id="32"/>
    <w:p w14:paraId="6A6DAC1E">
      <w:pPr>
        <w:pStyle w:val="3"/>
        <w:adjustRightInd w:val="0"/>
        <w:snapToGrid w:val="0"/>
        <w:spacing w:line="400" w:lineRule="exact"/>
        <w:jc w:val="center"/>
        <w:rPr>
          <w:rFonts w:ascii="黑体" w:hAnsi="黑体"/>
          <w:sz w:val="28"/>
          <w:szCs w:val="28"/>
        </w:rPr>
      </w:pPr>
      <w:bookmarkStart w:id="33" w:name="_Toc22209"/>
    </w:p>
    <w:p w14:paraId="0C70F389">
      <w:pPr>
        <w:pStyle w:val="3"/>
        <w:adjustRightInd w:val="0"/>
        <w:snapToGrid w:val="0"/>
        <w:spacing w:line="400" w:lineRule="exact"/>
        <w:jc w:val="center"/>
        <w:rPr>
          <w:rFonts w:ascii="黑体" w:hAnsi="华文中宋"/>
          <w:b w:val="0"/>
          <w:bCs w:val="0"/>
          <w:sz w:val="28"/>
          <w:szCs w:val="28"/>
        </w:rPr>
      </w:pPr>
      <w:r>
        <w:rPr>
          <w:rFonts w:hint="eastAsia" w:ascii="黑体" w:hAnsi="黑体"/>
          <w:b w:val="0"/>
          <w:bCs w:val="0"/>
          <w:sz w:val="28"/>
          <w:szCs w:val="28"/>
        </w:rPr>
        <w:t xml:space="preserve">第一节 </w:t>
      </w:r>
      <w:r>
        <w:rPr>
          <w:rFonts w:hint="eastAsia" w:ascii="黑体" w:hAnsi="华文中宋"/>
          <w:b w:val="0"/>
          <w:bCs w:val="0"/>
          <w:sz w:val="28"/>
          <w:szCs w:val="28"/>
        </w:rPr>
        <w:t>政府采购合同协议书</w:t>
      </w:r>
      <w:bookmarkEnd w:id="33"/>
    </w:p>
    <w:p w14:paraId="643B932D">
      <w:pPr>
        <w:pStyle w:val="3"/>
        <w:adjustRightInd w:val="0"/>
        <w:snapToGrid w:val="0"/>
        <w:spacing w:line="400" w:lineRule="exact"/>
        <w:jc w:val="center"/>
        <w:rPr>
          <w:rFonts w:ascii="黑体" w:hAnsi="华文中宋"/>
          <w:b w:val="0"/>
          <w:bCs w:val="0"/>
          <w:sz w:val="28"/>
          <w:szCs w:val="28"/>
        </w:rPr>
      </w:pPr>
    </w:p>
    <w:p w14:paraId="5C8A1F54">
      <w:pPr>
        <w:adjustRightInd w:val="0"/>
        <w:snapToGrid w:val="0"/>
        <w:spacing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（采购人、受采购人委托签订合同的单位或采购</w:t>
      </w:r>
      <w:r>
        <w:rPr>
          <w:rFonts w:hint="eastAsia" w:ascii="宋体" w:hAnsi="宋体"/>
          <w:szCs w:val="21"/>
        </w:rPr>
        <w:tab/>
      </w:r>
      <w:r>
        <w:rPr>
          <w:rFonts w:hint="eastAsia" w:ascii="宋体" w:hAnsi="宋体"/>
          <w:szCs w:val="21"/>
        </w:rPr>
        <w:t xml:space="preserve">                                   文件约定的合同甲方）</w:t>
      </w:r>
    </w:p>
    <w:p w14:paraId="39E0CEA1">
      <w:pPr>
        <w:adjustRightInd w:val="0"/>
        <w:snapToGrid w:val="0"/>
        <w:spacing w:line="400" w:lineRule="exact"/>
        <w:rPr>
          <w:rFonts w:ascii="宋体" w:hAnsi="宋体"/>
          <w:szCs w:val="21"/>
        </w:rPr>
      </w:pPr>
      <w:r>
        <w:rPr>
          <w:rFonts w:hint="eastAsia" w:ascii="宋体" w:hAnsi="宋体"/>
          <w:szCs w:val="21"/>
        </w:rPr>
        <w:t>乙方1（全称）：</w:t>
      </w:r>
      <w:r>
        <w:rPr>
          <w:rFonts w:hint="eastAsia" w:ascii="宋体" w:hAnsi="宋体"/>
          <w:szCs w:val="21"/>
          <w:u w:val="single"/>
        </w:rPr>
        <w:t xml:space="preserve">                       </w:t>
      </w:r>
      <w:r>
        <w:rPr>
          <w:rFonts w:hint="eastAsia" w:ascii="宋体" w:hAnsi="宋体"/>
          <w:szCs w:val="21"/>
        </w:rPr>
        <w:t>（供应商）</w:t>
      </w:r>
    </w:p>
    <w:p w14:paraId="0063CCA9">
      <w:pPr>
        <w:adjustRightInd w:val="0"/>
        <w:snapToGrid w:val="0"/>
        <w:spacing w:line="400" w:lineRule="exact"/>
        <w:rPr>
          <w:rFonts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rPr>
        <w:t>（联合体成员供应商或其他合同主体）（如有）</w:t>
      </w:r>
    </w:p>
    <w:p w14:paraId="0FAF1E87">
      <w:pPr>
        <w:adjustRightInd w:val="0"/>
        <w:snapToGrid w:val="0"/>
        <w:spacing w:line="400" w:lineRule="exact"/>
        <w:rPr>
          <w:rFonts w:ascii="宋体" w:hAnsi="宋体"/>
          <w:szCs w:val="21"/>
        </w:rPr>
      </w:pPr>
      <w:r>
        <w:rPr>
          <w:rFonts w:hint="eastAsia"/>
        </w:rPr>
        <w:t>乙方</w:t>
      </w:r>
      <w:r>
        <w:rPr>
          <w:rFonts w:hint="eastAsia" w:ascii="宋体" w:hAnsi="宋体"/>
          <w:szCs w:val="21"/>
        </w:rPr>
        <w:t>3</w:t>
      </w:r>
      <w:r>
        <w:rPr>
          <w:rFonts w:hint="eastAsia"/>
        </w:rPr>
        <w:t>（全称）</w:t>
      </w:r>
      <w:r>
        <w:rPr>
          <w:rFonts w:hint="eastAsia" w:ascii="宋体" w:hAnsi="宋体"/>
          <w:szCs w:val="21"/>
          <w:u w:val="single"/>
        </w:rPr>
        <w:t xml:space="preserve">                          </w:t>
      </w:r>
      <w:r>
        <w:rPr>
          <w:rFonts w:hint="eastAsia" w:ascii="宋体" w:hAnsi="宋体"/>
          <w:szCs w:val="21"/>
        </w:rPr>
        <w:t>（联合体成员供应商或其他合同主体）（如有）</w:t>
      </w:r>
    </w:p>
    <w:p w14:paraId="4C32DE2F">
      <w:pPr>
        <w:spacing w:line="400" w:lineRule="exact"/>
      </w:pPr>
    </w:p>
    <w:p w14:paraId="5682A1AC">
      <w:pPr>
        <w:pStyle w:val="17"/>
        <w:adjustRightInd w:val="0"/>
        <w:snapToGrid w:val="0"/>
        <w:spacing w:line="400" w:lineRule="exact"/>
        <w:rPr>
          <w:rFonts w:ascii="宋体" w:hAnsi="宋体"/>
          <w:szCs w:val="21"/>
        </w:rPr>
      </w:pPr>
      <w:r>
        <w:rPr>
          <w:rFonts w:hint="eastAsia" w:ascii="宋体" w:hAnsi="宋体"/>
          <w:szCs w:val="21"/>
        </w:rPr>
        <w:t xml:space="preserve">依据《中华人民共和国民法典》、《中华人民共和国政府采购法》等有关的法律法规，以及本采购项目的招标/谈判文件等采购文件、乙方的《投标（响应）文件》及《中标（成交）通知书》，甲乙双方同意签订本合同。具体情况及要求如下：     </w:t>
      </w:r>
    </w:p>
    <w:p w14:paraId="6C81256A">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项目信息</w:t>
      </w:r>
    </w:p>
    <w:p w14:paraId="31853CDC">
      <w:pPr>
        <w:pStyle w:val="17"/>
        <w:numPr>
          <w:ilvl w:val="0"/>
          <w:numId w:val="7"/>
        </w:numPr>
        <w:adjustRightInd w:val="0"/>
        <w:snapToGrid w:val="0"/>
        <w:spacing w:line="400" w:lineRule="exact"/>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F7C8662">
      <w:pPr>
        <w:pStyle w:val="17"/>
        <w:numPr>
          <w:ilvl w:val="255"/>
          <w:numId w:val="0"/>
        </w:numPr>
        <w:tabs>
          <w:tab w:val="left" w:pos="999"/>
        </w:tabs>
        <w:adjustRightInd w:val="0"/>
        <w:snapToGrid w:val="0"/>
        <w:spacing w:line="400" w:lineRule="exact"/>
        <w:rPr>
          <w:rFonts w:ascii="宋体" w:hAnsi="宋体"/>
          <w:szCs w:val="21"/>
        </w:rPr>
      </w:pPr>
      <w:r>
        <w:rPr>
          <w:rFonts w:hint="eastAsia" w:ascii="宋体" w:hAnsi="宋体"/>
          <w:szCs w:val="21"/>
        </w:rPr>
        <w:t xml:space="preserve">         采购项目编号：</w:t>
      </w:r>
      <w:r>
        <w:rPr>
          <w:rFonts w:ascii="宋体" w:hAnsi="宋体"/>
          <w:szCs w:val="21"/>
          <w:u w:val="single"/>
        </w:rPr>
        <w:t xml:space="preserve">                                          </w:t>
      </w:r>
    </w:p>
    <w:p w14:paraId="473C3BDC">
      <w:pPr>
        <w:pStyle w:val="17"/>
        <w:adjustRightInd w:val="0"/>
        <w:snapToGrid w:val="0"/>
        <w:spacing w:line="400" w:lineRule="exact"/>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6CD15417">
      <w:pPr>
        <w:adjustRightInd w:val="0"/>
        <w:snapToGrid w:val="0"/>
        <w:spacing w:line="400" w:lineRule="exact"/>
        <w:ind w:firstLine="420" w:firstLineChars="200"/>
        <w:rPr>
          <w:rFonts w:ascii="宋体" w:hAnsi="宋体"/>
          <w:szCs w:val="21"/>
        </w:rPr>
      </w:pPr>
      <w:r>
        <w:rPr>
          <w:rFonts w:hint="eastAsia" w:ascii="宋体" w:hAnsi="宋体"/>
          <w:szCs w:val="21"/>
        </w:rPr>
        <w:t>（3）项目内容：</w:t>
      </w:r>
    </w:p>
    <w:p w14:paraId="3593E926">
      <w:pPr>
        <w:adjustRightInd w:val="0"/>
        <w:snapToGrid w:val="0"/>
        <w:spacing w:line="400" w:lineRule="exact"/>
        <w:ind w:firstLine="420" w:firstLineChars="200"/>
        <w:rPr>
          <w:rFonts w:ascii="宋体" w:hAnsi="宋体"/>
          <w:szCs w:val="21"/>
        </w:rPr>
      </w:pPr>
      <w:r>
        <w:rPr>
          <w:rFonts w:hint="eastAsia" w:ascii="宋体" w:hAnsi="宋体"/>
          <w:szCs w:val="21"/>
        </w:rPr>
        <w:t xml:space="preserve">     采购标的及数量（台/套</w:t>
      </w:r>
      <w:r>
        <w:rPr>
          <w:rFonts w:ascii="宋体" w:hAnsi="宋体"/>
          <w:szCs w:val="21"/>
          <w:lang w:val="en"/>
        </w:rPr>
        <w:t>/</w:t>
      </w:r>
      <w:r>
        <w:rPr>
          <w:rFonts w:hint="eastAsia" w:ascii="宋体" w:hAnsi="宋体"/>
          <w:szCs w:val="21"/>
          <w:lang w:val="en"/>
        </w:rPr>
        <w:t>个</w:t>
      </w:r>
      <w:r>
        <w:rPr>
          <w:rFonts w:ascii="宋体" w:hAnsi="宋体"/>
          <w:szCs w:val="21"/>
          <w:lang w:val="en"/>
        </w:rPr>
        <w:t>/</w:t>
      </w:r>
      <w:r>
        <w:rPr>
          <w:rFonts w:hint="eastAsia" w:ascii="宋体" w:hAnsi="宋体"/>
          <w:szCs w:val="21"/>
          <w:lang w:val="en"/>
        </w:rPr>
        <w:t>架</w:t>
      </w:r>
      <w:r>
        <w:rPr>
          <w:rFonts w:ascii="宋体" w:hAnsi="宋体"/>
          <w:szCs w:val="21"/>
          <w:lang w:val="en"/>
        </w:rPr>
        <w:t>/</w:t>
      </w:r>
      <w:r>
        <w:rPr>
          <w:rFonts w:hint="eastAsia" w:ascii="宋体" w:hAnsi="宋体"/>
          <w:szCs w:val="21"/>
          <w:lang w:val="en"/>
        </w:rPr>
        <w:t>组等</w:t>
      </w:r>
      <w:r>
        <w:rPr>
          <w:rFonts w:hint="eastAsia" w:ascii="宋体" w:hAnsi="宋体"/>
          <w:szCs w:val="21"/>
        </w:rPr>
        <w:t>）：</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 xml:space="preserve"> </w:t>
      </w:r>
    </w:p>
    <w:p w14:paraId="066414C6">
      <w:pPr>
        <w:numPr>
          <w:ilvl w:val="255"/>
          <w:numId w:val="0"/>
        </w:numPr>
        <w:adjustRightInd w:val="0"/>
        <w:snapToGrid w:val="0"/>
        <w:spacing w:line="400" w:lineRule="exact"/>
        <w:ind w:firstLine="420" w:firstLineChars="200"/>
        <w:rPr>
          <w:rFonts w:ascii="宋体" w:hAnsi="宋体" w:cs="宋体"/>
          <w:szCs w:val="21"/>
          <w:lang w:val="en"/>
        </w:rPr>
      </w:pPr>
      <w:r>
        <w:rPr>
          <w:rFonts w:hint="eastAsia" w:ascii="宋体" w:hAnsi="宋体"/>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lang w:val="en"/>
        </w:rPr>
        <w:t xml:space="preserve">     </w:t>
      </w:r>
      <w:r>
        <w:rPr>
          <w:rFonts w:hint="eastAsia" w:ascii="宋体" w:hAnsi="宋体" w:cs="宋体"/>
          <w:szCs w:val="21"/>
        </w:rPr>
        <w:t>规格型号：</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p>
    <w:p w14:paraId="487DABB9">
      <w:pPr>
        <w:adjustRightInd w:val="0"/>
        <w:snapToGrid w:val="0"/>
        <w:spacing w:line="400" w:lineRule="exact"/>
        <w:ind w:firstLine="945" w:firstLineChars="450"/>
        <w:rPr>
          <w:rFonts w:ascii="宋体" w:hAnsi="宋体"/>
          <w:szCs w:val="21"/>
          <w:u w:val="single"/>
        </w:rPr>
      </w:pPr>
      <w:r>
        <w:rPr>
          <w:rFonts w:hint="eastAsia" w:ascii="宋体" w:hAnsi="宋体"/>
          <w:szCs w:val="21"/>
        </w:rPr>
        <w:t>采购标的的技术要求、商务要求具体见附件。</w:t>
      </w:r>
    </w:p>
    <w:p w14:paraId="1831B01A">
      <w:pPr>
        <w:numPr>
          <w:ilvl w:val="255"/>
          <w:numId w:val="0"/>
        </w:numPr>
        <w:adjustRightInd w:val="0"/>
        <w:snapToGrid w:val="0"/>
        <w:spacing w:line="400" w:lineRule="exact"/>
        <w:ind w:firstLine="945" w:firstLineChars="450"/>
        <w:rPr>
          <w:rFonts w:ascii="宋体" w:hAnsi="宋体" w:cs="宋体"/>
          <w:szCs w:val="21"/>
        </w:rPr>
      </w:pPr>
      <w:r>
        <w:rPr>
          <w:rFonts w:hint="eastAsia" w:ascii="汉仪书宋二S" w:hAnsi="汉仪书宋二S" w:eastAsia="汉仪书宋二S" w:cs="汉仪书宋二S"/>
          <w:szCs w:val="21"/>
        </w:rPr>
        <w:t>①</w:t>
      </w:r>
      <w:r>
        <w:rPr>
          <w:rFonts w:hint="eastAsia" w:ascii="宋体" w:hAnsi="宋体" w:cs="宋体"/>
          <w:szCs w:val="21"/>
        </w:rPr>
        <w:t>涉及信息类产品，请填写该产品关键部件的品牌、型号：</w:t>
      </w:r>
    </w:p>
    <w:p w14:paraId="453D8B65">
      <w:pPr>
        <w:numPr>
          <w:ilvl w:val="255"/>
          <w:numId w:val="0"/>
        </w:numPr>
        <w:adjustRightInd w:val="0"/>
        <w:snapToGrid w:val="0"/>
        <w:spacing w:line="400" w:lineRule="exact"/>
        <w:ind w:firstLine="420" w:firstLineChars="200"/>
        <w:rPr>
          <w:rFonts w:ascii="宋体" w:hAnsi="宋体" w:cs="宋体"/>
          <w:kern w:val="0"/>
          <w:szCs w:val="21"/>
          <w:u w:val="single"/>
        </w:rPr>
      </w:pPr>
      <w:r>
        <w:rPr>
          <w:rFonts w:hint="eastAsia" w:ascii="宋体" w:hAnsi="宋体" w:cs="宋体"/>
          <w:szCs w:val="21"/>
        </w:rPr>
        <w:t xml:space="preserve">     标的名称：</w:t>
      </w:r>
      <w:r>
        <w:rPr>
          <w:rFonts w:hint="eastAsia" w:ascii="宋体" w:hAnsi="宋体" w:cs="宋体"/>
          <w:kern w:val="0"/>
          <w:szCs w:val="21"/>
          <w:u w:val="single"/>
        </w:rPr>
        <w:t xml:space="preserve">      </w:t>
      </w:r>
      <w:r>
        <w:rPr>
          <w:rFonts w:ascii="宋体" w:hAnsi="宋体" w:cs="宋体"/>
          <w:kern w:val="0"/>
          <w:szCs w:val="21"/>
          <w:u w:val="single"/>
          <w:lang w:val="en"/>
        </w:rPr>
        <w:t xml:space="preserve">               </w:t>
      </w:r>
      <w:r>
        <w:rPr>
          <w:rFonts w:hint="eastAsia" w:ascii="宋体" w:hAnsi="宋体" w:cs="宋体"/>
          <w:kern w:val="0"/>
          <w:szCs w:val="21"/>
          <w:u w:val="single"/>
        </w:rPr>
        <w:t xml:space="preserve">    </w:t>
      </w:r>
    </w:p>
    <w:p w14:paraId="65197323">
      <w:pPr>
        <w:numPr>
          <w:ilvl w:val="255"/>
          <w:numId w:val="0"/>
        </w:numPr>
        <w:adjustRightInd w:val="0"/>
        <w:snapToGrid w:val="0"/>
        <w:spacing w:line="400" w:lineRule="exact"/>
        <w:ind w:firstLine="420" w:firstLineChars="200"/>
        <w:rPr>
          <w:rFonts w:ascii="宋体" w:hAnsi="宋体" w:cs="宋体"/>
          <w:szCs w:val="21"/>
        </w:rPr>
      </w:pPr>
      <w:r>
        <w:rPr>
          <w:rFonts w:hint="eastAsia" w:ascii="宋体" w:hAnsi="宋体" w:cs="宋体"/>
          <w:szCs w:val="21"/>
        </w:rPr>
        <w:t xml:space="preserve">     关键部件：</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hint="eastAsia" w:ascii="宋体" w:hAnsi="宋体" w:cs="宋体"/>
          <w:szCs w:val="21"/>
        </w:rPr>
        <w:t xml:space="preserve"> 型号：</w:t>
      </w:r>
      <w:r>
        <w:rPr>
          <w:rFonts w:hint="eastAsia" w:ascii="宋体" w:hAnsi="宋体" w:cs="宋体"/>
          <w:szCs w:val="21"/>
          <w:u w:val="single"/>
        </w:rPr>
        <w:t xml:space="preserve">       </w:t>
      </w:r>
      <w:r>
        <w:rPr>
          <w:rFonts w:hint="eastAsia" w:ascii="宋体" w:hAnsi="宋体" w:cs="宋体"/>
          <w:szCs w:val="21"/>
        </w:rPr>
        <w:t xml:space="preserve"> </w:t>
      </w:r>
    </w:p>
    <w:p w14:paraId="1C62F091">
      <w:pPr>
        <w:pStyle w:val="102"/>
        <w:ind w:firstLine="420"/>
        <w:rPr>
          <w:rFonts w:ascii="宋体" w:hAnsi="宋体" w:eastAsia="宋体" w:cs="宋体"/>
          <w:sz w:val="21"/>
        </w:rPr>
      </w:pPr>
      <w:r>
        <w:rPr>
          <w:rFonts w:hint="eastAsia" w:ascii="宋体" w:hAnsi="宋体" w:eastAsia="宋体" w:cs="宋体"/>
          <w:sz w:val="21"/>
        </w:rPr>
        <w:t xml:space="preserve">     </w:t>
      </w:r>
      <w:r>
        <w:rPr>
          <w:rFonts w:hint="eastAsia" w:ascii="宋体" w:hAnsi="宋体" w:eastAsia="宋体" w:cs="宋体"/>
          <w:kern w:val="2"/>
          <w:sz w:val="21"/>
        </w:rPr>
        <w:t>关键部件</w:t>
      </w:r>
      <w:r>
        <w:rPr>
          <w:rFonts w:hint="eastAsia" w:ascii="宋体" w:hAnsi="宋体" w:eastAsia="宋体" w:cs="宋体"/>
          <w:sz w:val="21"/>
        </w:rPr>
        <w:t>：</w:t>
      </w:r>
      <w:r>
        <w:rPr>
          <w:rFonts w:hint="eastAsia" w:ascii="宋体" w:hAnsi="宋体" w:eastAsia="宋体" w:cs="宋体"/>
          <w:sz w:val="21"/>
          <w:u w:val="single"/>
        </w:rPr>
        <w:t xml:space="preserve">          </w:t>
      </w:r>
      <w:r>
        <w:rPr>
          <w:rFonts w:hint="eastAsia" w:ascii="宋体" w:hAnsi="宋体" w:eastAsia="宋体" w:cs="宋体"/>
          <w:sz w:val="21"/>
        </w:rPr>
        <w:t xml:space="preserve"> 品牌：</w:t>
      </w:r>
      <w:r>
        <w:rPr>
          <w:rFonts w:hint="eastAsia" w:ascii="宋体" w:hAnsi="宋体" w:eastAsia="宋体" w:cs="宋体"/>
          <w:sz w:val="21"/>
          <w:u w:val="single"/>
        </w:rPr>
        <w:t xml:space="preserve">        </w:t>
      </w:r>
      <w:r>
        <w:rPr>
          <w:rFonts w:hint="eastAsia" w:ascii="宋体" w:hAnsi="宋体" w:eastAsia="宋体" w:cs="宋体"/>
          <w:sz w:val="21"/>
        </w:rPr>
        <w:t xml:space="preserve"> 型号：</w:t>
      </w:r>
      <w:r>
        <w:rPr>
          <w:rFonts w:hint="eastAsia" w:ascii="宋体" w:hAnsi="宋体" w:eastAsia="宋体" w:cs="宋体"/>
          <w:sz w:val="21"/>
          <w:u w:val="single"/>
        </w:rPr>
        <w:t xml:space="preserve">       </w:t>
      </w:r>
      <w:r>
        <w:rPr>
          <w:rFonts w:hint="eastAsia" w:ascii="宋体" w:hAnsi="宋体" w:eastAsia="宋体" w:cs="宋体"/>
          <w:sz w:val="21"/>
        </w:rPr>
        <w:t xml:space="preserve"> </w:t>
      </w:r>
    </w:p>
    <w:p w14:paraId="1AB39EE7">
      <w:pPr>
        <w:pStyle w:val="102"/>
        <w:ind w:firstLine="420"/>
        <w:rPr>
          <w:rFonts w:ascii="宋体" w:hAnsi="宋体" w:eastAsia="宋体" w:cs="宋体"/>
          <w:sz w:val="21"/>
        </w:rPr>
      </w:pPr>
      <w:r>
        <w:rPr>
          <w:rFonts w:hint="eastAsia" w:ascii="宋体" w:hAnsi="宋体" w:eastAsia="宋体" w:cs="宋体"/>
          <w:sz w:val="21"/>
        </w:rPr>
        <w:t xml:space="preserve">     关键部件：</w:t>
      </w:r>
      <w:r>
        <w:rPr>
          <w:rFonts w:hint="eastAsia" w:ascii="宋体" w:hAnsi="宋体" w:eastAsia="宋体" w:cs="宋体"/>
          <w:sz w:val="21"/>
          <w:u w:val="single"/>
        </w:rPr>
        <w:t xml:space="preserve">          </w:t>
      </w:r>
      <w:r>
        <w:rPr>
          <w:rFonts w:hint="eastAsia" w:ascii="宋体" w:hAnsi="宋体" w:eastAsia="宋体" w:cs="宋体"/>
          <w:sz w:val="21"/>
        </w:rPr>
        <w:t xml:space="preserve"> 品牌：</w:t>
      </w:r>
      <w:r>
        <w:rPr>
          <w:rFonts w:hint="eastAsia" w:ascii="宋体" w:hAnsi="宋体" w:eastAsia="宋体" w:cs="宋体"/>
          <w:sz w:val="21"/>
          <w:u w:val="single"/>
        </w:rPr>
        <w:t xml:space="preserve">        </w:t>
      </w:r>
      <w:r>
        <w:rPr>
          <w:rFonts w:hint="eastAsia" w:ascii="宋体" w:hAnsi="宋体" w:eastAsia="宋体" w:cs="宋体"/>
          <w:sz w:val="21"/>
        </w:rPr>
        <w:t xml:space="preserve"> 型号：</w:t>
      </w:r>
      <w:r>
        <w:rPr>
          <w:rFonts w:hint="eastAsia" w:ascii="宋体" w:hAnsi="宋体" w:eastAsia="宋体" w:cs="宋体"/>
          <w:sz w:val="21"/>
          <w:u w:val="single"/>
        </w:rPr>
        <w:t xml:space="preserve">       </w:t>
      </w:r>
    </w:p>
    <w:p w14:paraId="77E3CE8B">
      <w:pPr>
        <w:pStyle w:val="102"/>
        <w:numPr>
          <w:ilvl w:val="255"/>
          <w:numId w:val="0"/>
        </w:numPr>
        <w:snapToGrid w:val="0"/>
        <w:rPr>
          <w:rFonts w:ascii="宋体" w:hAnsi="宋体" w:eastAsia="宋体" w:cs="宋体"/>
          <w:sz w:val="21"/>
        </w:rPr>
      </w:pPr>
      <w:r>
        <w:rPr>
          <w:rFonts w:hint="eastAsia" w:ascii="宋体" w:hAnsi="宋体" w:eastAsia="宋体" w:cs="宋体"/>
          <w:sz w:val="21"/>
        </w:rPr>
        <w:t xml:space="preserve">   （注：关键部件是指财政部会同有关部门发布的政府采购需求标准规定的需要通过国家有关部门指定的测评机构开展的安全可靠测评的软硬件，如CPU芯片、操作系统、数据库等。）</w:t>
      </w:r>
    </w:p>
    <w:p w14:paraId="7977A766">
      <w:pPr>
        <w:pStyle w:val="102"/>
        <w:numPr>
          <w:ilvl w:val="255"/>
          <w:numId w:val="0"/>
        </w:numPr>
        <w:snapToGrid w:val="0"/>
        <w:rPr>
          <w:rFonts w:ascii="宋体" w:hAnsi="宋体" w:eastAsia="宋体" w:cs="宋体"/>
          <w:sz w:val="21"/>
        </w:rPr>
      </w:pPr>
      <w:r>
        <w:rPr>
          <w:rFonts w:hint="eastAsia" w:ascii="宋体" w:hAnsi="宋体" w:eastAsia="宋体" w:cs="宋体"/>
          <w:sz w:val="21"/>
        </w:rPr>
        <w:t xml:space="preserve">         </w:t>
      </w:r>
      <w:r>
        <w:rPr>
          <w:rFonts w:hint="eastAsia" w:ascii="汉仪书宋二S" w:hAnsi="汉仪书宋二S" w:eastAsia="汉仪书宋二S" w:cs="汉仪书宋二S"/>
          <w:sz w:val="21"/>
        </w:rPr>
        <w:t>②</w:t>
      </w:r>
      <w:r>
        <w:rPr>
          <w:rFonts w:hint="eastAsia" w:ascii="宋体" w:hAnsi="宋体" w:eastAsia="宋体" w:cs="宋体"/>
          <w:sz w:val="21"/>
        </w:rPr>
        <w:t>涉及车辆采购，请填写是否属于新能源汽车：</w:t>
      </w:r>
    </w:p>
    <w:p w14:paraId="7E5DEC76">
      <w:pPr>
        <w:pStyle w:val="102"/>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是，《政府采购品目分类目录》底级品目名称：</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数量：</w:t>
      </w:r>
      <w:r>
        <w:rPr>
          <w:rFonts w:hint="eastAsia" w:asciiTheme="minorEastAsia" w:hAnsiTheme="minorEastAsia" w:eastAsiaTheme="minorEastAsia" w:cstheme="minorEastAsia"/>
          <w:sz w:val="21"/>
          <w:u w:val="single"/>
        </w:rPr>
        <w:t xml:space="preserve"> </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金额：</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w:t>
      </w:r>
    </w:p>
    <w:p w14:paraId="7445672C">
      <w:pPr>
        <w:pStyle w:val="102"/>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否</w:t>
      </w:r>
    </w:p>
    <w:p w14:paraId="2593EA03">
      <w:pPr>
        <w:pStyle w:val="102"/>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asciiTheme="minorEastAsia" w:hAnsiTheme="minorEastAsia" w:eastAsiaTheme="minorEastAsia" w:cstheme="minorEastAsia"/>
          <w:sz w:val="21"/>
          <w:lang w:val="en"/>
        </w:rPr>
        <w:t>4</w:t>
      </w:r>
      <w:r>
        <w:rPr>
          <w:rFonts w:hint="eastAsia" w:asciiTheme="minorEastAsia" w:hAnsiTheme="minorEastAsia" w:eastAsiaTheme="minorEastAsia" w:cstheme="minorEastAsia"/>
          <w:sz w:val="21"/>
        </w:rPr>
        <w:t>）政府采购组织形式：</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政府集中采购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部门集中采购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分散采购</w:t>
      </w:r>
    </w:p>
    <w:p w14:paraId="368545A3">
      <w:pPr>
        <w:pStyle w:val="102"/>
        <w:numPr>
          <w:ilvl w:val="255"/>
          <w:numId w:val="0"/>
        </w:numPr>
        <w:snapToGrid w:val="0"/>
        <w:ind w:firstLine="4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w:t>
      </w:r>
      <w:r>
        <w:rPr>
          <w:rFonts w:asciiTheme="minorEastAsia" w:hAnsiTheme="minorEastAsia" w:eastAsiaTheme="minorEastAsia" w:cstheme="minorEastAsia"/>
          <w:sz w:val="21"/>
          <w:lang w:val="en"/>
        </w:rPr>
        <w:t>5</w:t>
      </w:r>
      <w:r>
        <w:rPr>
          <w:rFonts w:hint="eastAsia" w:asciiTheme="minorEastAsia" w:hAnsiTheme="minorEastAsia" w:eastAsiaTheme="minorEastAsia" w:cstheme="minorEastAsia"/>
          <w:sz w:val="21"/>
        </w:rPr>
        <w:t>）政府采购方式：</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公开招标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邀请招标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竞争性谈判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竞争性磋商</w:t>
      </w:r>
    </w:p>
    <w:p w14:paraId="31CD622C">
      <w:pPr>
        <w:pStyle w:val="102"/>
        <w:numPr>
          <w:ilvl w:val="255"/>
          <w:numId w:val="0"/>
        </w:numPr>
        <w:snapToGrid w:val="0"/>
        <w:ind w:firstLine="420"/>
        <w:rPr>
          <w:rFonts w:ascii="宋体" w:hAnsi="宋体" w:eastAsia="宋体" w:cs="宋体"/>
          <w:sz w:val="21"/>
          <w:u w:val="single"/>
        </w:rPr>
      </w:pPr>
      <w:r>
        <w:rPr>
          <w:rFonts w:hint="eastAsia" w:ascii="宋体" w:hAnsi="宋体" w:cs="宋体"/>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询价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单一来源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框架协议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其他：</w:t>
      </w:r>
      <w:r>
        <w:rPr>
          <w:rFonts w:hint="eastAsia" w:ascii="宋体" w:hAnsi="宋体" w:eastAsia="宋体" w:cs="宋体"/>
          <w:sz w:val="21"/>
          <w:u w:val="single"/>
        </w:rPr>
        <w:t xml:space="preserve">          </w:t>
      </w:r>
    </w:p>
    <w:p w14:paraId="2F3BF14D">
      <w:pPr>
        <w:pStyle w:val="102"/>
        <w:numPr>
          <w:ilvl w:val="255"/>
          <w:numId w:val="0"/>
        </w:numPr>
        <w:snapToGrid w:val="0"/>
        <w:ind w:firstLine="420"/>
        <w:rPr>
          <w:rFonts w:ascii="宋体" w:hAnsi="宋体" w:eastAsia="宋体" w:cs="宋体"/>
          <w:sz w:val="21"/>
        </w:rPr>
      </w:pPr>
      <w:r>
        <w:rPr>
          <w:rFonts w:hint="eastAsia" w:ascii="宋体" w:hAnsi="宋体" w:eastAsia="宋体" w:cs="宋体"/>
          <w:sz w:val="21"/>
        </w:rPr>
        <w:t>（注：在框架协议采购的第二阶段，可选择使用该合同文本）</w:t>
      </w:r>
    </w:p>
    <w:p w14:paraId="29A4DD1B">
      <w:pPr>
        <w:pStyle w:val="102"/>
        <w:numPr>
          <w:ilvl w:val="255"/>
          <w:numId w:val="0"/>
        </w:numPr>
        <w:snapToGrid w:val="0"/>
        <w:ind w:firstLine="220" w:firstLineChars="100"/>
        <w:rPr>
          <w:rFonts w:ascii="宋体" w:hAnsi="宋体" w:eastAsia="宋体" w:cs="Times New Roman"/>
          <w:kern w:val="2"/>
          <w:sz w:val="21"/>
        </w:rPr>
      </w:pPr>
      <w:r>
        <w:rPr>
          <w:rFonts w:hint="eastAsia" w:ascii="宋体" w:hAnsi="宋体"/>
        </w:rPr>
        <w:t xml:space="preserve"> （</w:t>
      </w:r>
      <w:r>
        <w:rPr>
          <w:rFonts w:ascii="宋体" w:hAnsi="宋体"/>
          <w:lang w:val="en"/>
        </w:rPr>
        <w:t>6</w:t>
      </w:r>
      <w:r>
        <w:rPr>
          <w:rFonts w:hint="eastAsia" w:ascii="宋体" w:hAnsi="宋体"/>
        </w:rPr>
        <w:t>）</w:t>
      </w:r>
      <w:r>
        <w:rPr>
          <w:rFonts w:hint="eastAsia" w:ascii="宋体" w:hAnsi="宋体" w:eastAsia="宋体" w:cs="Times New Roman"/>
          <w:kern w:val="2"/>
          <w:sz w:val="21"/>
        </w:rPr>
        <w:t>中标（成交）采购标的制造商是否为中小企业：</w:t>
      </w:r>
      <w:r>
        <w:rPr>
          <w:rFonts w:hint="eastAsia" w:ascii="宋体" w:hAnsi="宋体" w:eastAsia="宋体" w:cs="Times New Roman"/>
          <w:kern w:val="2"/>
          <w:sz w:val="21"/>
        </w:rPr>
        <w:sym w:font="Wingdings" w:char="00A8"/>
      </w:r>
      <w:r>
        <w:rPr>
          <w:rFonts w:hint="eastAsia" w:ascii="宋体" w:hAnsi="宋体" w:eastAsia="宋体" w:cs="Times New Roman"/>
          <w:kern w:val="2"/>
          <w:sz w:val="21"/>
        </w:rPr>
        <w:t xml:space="preserve">是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否</w:t>
      </w:r>
    </w:p>
    <w:p w14:paraId="34C32F40">
      <w:pPr>
        <w:numPr>
          <w:ilvl w:val="255"/>
          <w:numId w:val="0"/>
        </w:numPr>
        <w:adjustRightInd w:val="0"/>
        <w:snapToGrid w:val="0"/>
        <w:spacing w:line="400" w:lineRule="exact"/>
        <w:rPr>
          <w:rFonts w:ascii="宋体" w:hAnsi="宋体"/>
          <w:iCs/>
          <w:szCs w:val="21"/>
        </w:rPr>
      </w:pPr>
      <w:r>
        <w:rPr>
          <w:rFonts w:hint="eastAsia" w:ascii="宋体" w:hAnsi="宋体"/>
          <w:szCs w:val="21"/>
        </w:rPr>
        <w:t xml:space="preserve">         本合同是否为专门面向中小企业的采购合同（中小企业预留合同）：</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3EF866F1">
      <w:pPr>
        <w:numPr>
          <w:ilvl w:val="255"/>
          <w:numId w:val="0"/>
        </w:numPr>
        <w:adjustRightInd w:val="0"/>
        <w:snapToGrid w:val="0"/>
        <w:spacing w:line="400" w:lineRule="exact"/>
        <w:rPr>
          <w:rFonts w:ascii="宋体" w:hAnsi="宋体"/>
          <w:iCs/>
          <w:szCs w:val="21"/>
        </w:rPr>
      </w:pPr>
      <w:r>
        <w:rPr>
          <w:rFonts w:hint="eastAsia"/>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A920A55">
      <w:pPr>
        <w:numPr>
          <w:ilvl w:val="255"/>
          <w:numId w:val="0"/>
        </w:numPr>
        <w:adjustRightInd w:val="0"/>
        <w:snapToGrid w:val="0"/>
        <w:spacing w:line="400" w:lineRule="exact"/>
        <w:rPr>
          <w:rFonts w:ascii="宋体" w:hAnsi="宋体"/>
          <w:iCs/>
          <w:szCs w:val="21"/>
        </w:rPr>
      </w:pPr>
      <w:r>
        <w:rPr>
          <w:rFonts w:hint="eastAsia"/>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FA35677">
      <w:pPr>
        <w:snapToGrid w:val="0"/>
        <w:spacing w:line="400" w:lineRule="exact"/>
      </w:pPr>
      <w:r>
        <w:rPr>
          <w:rFonts w:hint="eastAsia"/>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838E92D">
      <w:pPr>
        <w:adjustRightInd w:val="0"/>
        <w:snapToGrid w:val="0"/>
        <w:spacing w:line="400" w:lineRule="exact"/>
        <w:ind w:firstLine="420" w:firstLineChars="200"/>
        <w:rPr>
          <w:rFonts w:ascii="宋体" w:hAnsi="宋体"/>
          <w:szCs w:val="21"/>
        </w:rPr>
      </w:pPr>
      <w:r>
        <w:rPr>
          <w:rFonts w:hint="eastAsia" w:ascii="宋体" w:hAnsi="宋体"/>
          <w:szCs w:val="21"/>
        </w:rPr>
        <w:t>（</w:t>
      </w:r>
      <w:r>
        <w:rPr>
          <w:rFonts w:ascii="宋体" w:hAnsi="宋体"/>
          <w:szCs w:val="21"/>
          <w:lang w:val="e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A5623F0">
      <w:pPr>
        <w:adjustRightInd w:val="0"/>
        <w:snapToGrid w:val="0"/>
        <w:spacing w:line="400" w:lineRule="exact"/>
        <w:ind w:firstLine="840" w:firstLineChars="400"/>
        <w:rPr>
          <w:rFonts w:ascii="宋体" w:hAnsi="宋体"/>
          <w:szCs w:val="21"/>
          <w:u w:val="single"/>
        </w:rPr>
      </w:pPr>
      <w:r>
        <w:rPr>
          <w:rFonts w:hint="eastAsia" w:ascii="宋体" w:hAnsi="宋体"/>
          <w:szCs w:val="21"/>
        </w:rPr>
        <w:t xml:space="preserve"> 分包主要内容：</w:t>
      </w:r>
      <w:r>
        <w:rPr>
          <w:rFonts w:hint="eastAsia" w:ascii="宋体" w:hAnsi="宋体"/>
          <w:szCs w:val="21"/>
          <w:u w:val="single"/>
        </w:rPr>
        <w:t xml:space="preserve">                                            </w:t>
      </w:r>
    </w:p>
    <w:p w14:paraId="45AD77B1">
      <w:pPr>
        <w:adjustRightInd w:val="0"/>
        <w:snapToGrid w:val="0"/>
        <w:spacing w:line="400" w:lineRule="exact"/>
        <w:ind w:firstLine="840" w:firstLineChars="400"/>
        <w:rPr>
          <w:rFonts w:ascii="宋体" w:hAnsi="宋体"/>
          <w:szCs w:val="21"/>
        </w:rPr>
      </w:pPr>
      <w:r>
        <w:rPr>
          <w:rFonts w:hint="eastAsia" w:ascii="宋体" w:hAnsi="宋体"/>
          <w:szCs w:val="21"/>
        </w:rPr>
        <w:t xml:space="preserve"> 分包供应商/制造商名称（如供应商和制造商不同，请分别填写）：</w:t>
      </w:r>
    </w:p>
    <w:p w14:paraId="2AD5A269">
      <w:pPr>
        <w:adjustRightInd w:val="0"/>
        <w:snapToGrid w:val="0"/>
        <w:spacing w:line="400" w:lineRule="exact"/>
        <w:ind w:firstLine="840" w:firstLineChars="400"/>
        <w:rPr>
          <w:rFonts w:ascii="宋体" w:hAnsi="宋体"/>
          <w:szCs w:val="21"/>
          <w:u w:val="single"/>
        </w:rPr>
      </w:pPr>
      <w:r>
        <w:rPr>
          <w:rFonts w:hint="eastAsia" w:ascii="宋体" w:hAnsi="宋体"/>
          <w:szCs w:val="21"/>
        </w:rPr>
        <w:t xml:space="preserve"> </w:t>
      </w:r>
      <w:r>
        <w:rPr>
          <w:rFonts w:hint="eastAsia" w:ascii="宋体" w:hAnsi="宋体"/>
          <w:szCs w:val="21"/>
          <w:u w:val="single"/>
        </w:rPr>
        <w:t xml:space="preserve">                                                          </w:t>
      </w:r>
    </w:p>
    <w:p w14:paraId="60C45934">
      <w:pPr>
        <w:adjustRightInd w:val="0"/>
        <w:snapToGrid w:val="0"/>
        <w:spacing w:line="400" w:lineRule="exact"/>
        <w:ind w:firstLine="840" w:firstLineChars="400"/>
        <w:rPr>
          <w:rFonts w:ascii="宋体" w:hAnsi="宋体"/>
          <w:szCs w:val="21"/>
        </w:rPr>
      </w:pPr>
      <w:r>
        <w:rPr>
          <w:rFonts w:hint="eastAsia" w:ascii="宋体" w:hAnsi="宋体"/>
          <w:szCs w:val="21"/>
        </w:rPr>
        <w:t xml:space="preserve"> 分包供应商/制造商类型（如果供应商和制造商不同，只填写制造商类型）：</w:t>
      </w:r>
    </w:p>
    <w:p w14:paraId="679F0F88">
      <w:pPr>
        <w:adjustRightInd w:val="0"/>
        <w:snapToGrid w:val="0"/>
        <w:spacing w:line="400" w:lineRule="exact"/>
        <w:ind w:firstLine="840" w:firstLineChars="400"/>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 xml:space="preserve">小微型企业  </w:t>
      </w:r>
    </w:p>
    <w:p w14:paraId="5C23C6F8">
      <w:pPr>
        <w:adjustRightInd w:val="0"/>
        <w:snapToGrid w:val="0"/>
        <w:spacing w:line="400" w:lineRule="exact"/>
        <w:ind w:firstLine="840" w:firstLineChars="400"/>
        <w:rPr>
          <w:rFonts w:eastAsia="华文楷体"/>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残疾人福利性单位 </w:t>
      </w:r>
      <w:r>
        <w:rPr>
          <w:rFonts w:hint="eastAsia" w:ascii="宋体" w:hAnsi="宋体"/>
          <w:iCs/>
          <w:szCs w:val="21"/>
        </w:rPr>
        <w:sym w:font="Wingdings" w:char="00A8"/>
      </w:r>
      <w:r>
        <w:rPr>
          <w:rFonts w:hint="eastAsia" w:ascii="宋体" w:hAnsi="宋体"/>
          <w:iCs/>
          <w:szCs w:val="21"/>
        </w:rPr>
        <w:t xml:space="preserve">监狱企业 </w:t>
      </w:r>
      <w:r>
        <w:rPr>
          <w:rFonts w:hint="eastAsia" w:ascii="宋体" w:hAnsi="宋体"/>
          <w:iCs/>
          <w:szCs w:val="21"/>
        </w:rPr>
        <w:sym w:font="Wingdings" w:char="00A8"/>
      </w:r>
      <w:r>
        <w:rPr>
          <w:rFonts w:hint="eastAsia" w:ascii="宋体" w:hAnsi="宋体"/>
          <w:iCs/>
          <w:szCs w:val="21"/>
        </w:rPr>
        <w:t>其他</w:t>
      </w:r>
    </w:p>
    <w:p w14:paraId="63950DE1">
      <w:pPr>
        <w:numPr>
          <w:ilvl w:val="255"/>
          <w:numId w:val="0"/>
        </w:numPr>
        <w:adjustRightInd w:val="0"/>
        <w:snapToGrid w:val="0"/>
        <w:spacing w:line="400" w:lineRule="exact"/>
        <w:rPr>
          <w:rFonts w:ascii="宋体" w:hAnsi="宋体" w:cs="宋体"/>
          <w:iCs/>
          <w:szCs w:val="21"/>
        </w:rPr>
      </w:pPr>
      <w:r>
        <w:rPr>
          <w:rFonts w:hint="eastAsia" w:ascii="宋体" w:hAnsi="宋体"/>
          <w:szCs w:val="21"/>
        </w:rPr>
        <w:t xml:space="preserve">    </w:t>
      </w:r>
      <w:r>
        <w:rPr>
          <w:rFonts w:hint="eastAsia" w:ascii="宋体" w:hAnsi="宋体" w:cs="宋体"/>
          <w:szCs w:val="21"/>
        </w:rPr>
        <w:t>（</w:t>
      </w:r>
      <w:r>
        <w:rPr>
          <w:rFonts w:ascii="宋体" w:hAnsi="宋体" w:cs="宋体"/>
          <w:szCs w:val="21"/>
          <w:lang w:val="en"/>
        </w:rPr>
        <w:t>8</w:t>
      </w:r>
      <w:r>
        <w:rPr>
          <w:rFonts w:hint="eastAsia" w:ascii="宋体" w:hAnsi="宋体" w:cs="宋体"/>
          <w:szCs w:val="21"/>
        </w:rPr>
        <w:t>）中标（成交）供应商是否为外商投资企业：</w:t>
      </w:r>
      <w:r>
        <w:rPr>
          <w:rFonts w:hint="eastAsia" w:ascii="宋体" w:hAnsi="宋体" w:cs="宋体"/>
          <w:iCs/>
          <w:szCs w:val="21"/>
        </w:rPr>
        <w:sym w:font="Wingdings" w:char="00A8"/>
      </w:r>
      <w:r>
        <w:rPr>
          <w:rFonts w:hint="eastAsia" w:ascii="宋体" w:hAnsi="宋体" w:cs="宋体"/>
          <w:iCs/>
          <w:szCs w:val="21"/>
        </w:rPr>
        <w:t xml:space="preserve">是       </w:t>
      </w:r>
      <w:r>
        <w:rPr>
          <w:rFonts w:hint="eastAsia" w:ascii="宋体" w:hAnsi="宋体" w:cs="宋体"/>
          <w:iCs/>
          <w:szCs w:val="21"/>
        </w:rPr>
        <w:sym w:font="Wingdings" w:char="00A8"/>
      </w:r>
      <w:r>
        <w:rPr>
          <w:rFonts w:hint="eastAsia" w:ascii="宋体" w:hAnsi="宋体" w:cs="宋体"/>
          <w:iCs/>
          <w:szCs w:val="21"/>
        </w:rPr>
        <w:t>否</w:t>
      </w:r>
    </w:p>
    <w:p w14:paraId="68425F41">
      <w:pPr>
        <w:pStyle w:val="102"/>
        <w:tabs>
          <w:tab w:val="left" w:pos="1340"/>
        </w:tabs>
        <w:ind w:firstLine="420"/>
        <w:rPr>
          <w:rFonts w:ascii="宋体" w:hAnsi="宋体" w:eastAsia="宋体" w:cs="宋体"/>
          <w:sz w:val="21"/>
          <w:u w:val="single"/>
        </w:rPr>
      </w:pPr>
      <w:r>
        <w:rPr>
          <w:rFonts w:hint="eastAsia" w:ascii="宋体" w:hAnsi="宋体" w:eastAsia="宋体" w:cs="宋体"/>
          <w:sz w:val="21"/>
        </w:rPr>
        <w:t xml:space="preserve">     外商投资企业类型：</w:t>
      </w:r>
      <w:r>
        <w:rPr>
          <w:rFonts w:hint="eastAsia" w:ascii="宋体" w:hAnsi="宋体" w:eastAsia="宋体" w:cs="宋体"/>
          <w:iCs/>
          <w:sz w:val="21"/>
        </w:rPr>
        <w:sym w:font="Wingdings" w:char="00A8"/>
      </w:r>
      <w:r>
        <w:rPr>
          <w:rFonts w:hint="eastAsia" w:ascii="宋体" w:hAnsi="宋体" w:eastAsia="宋体" w:cs="宋体"/>
          <w:sz w:val="21"/>
        </w:rPr>
        <w:t xml:space="preserve">全部由外国投资者投资  </w:t>
      </w:r>
      <w:r>
        <w:rPr>
          <w:rFonts w:hint="eastAsia" w:ascii="宋体" w:hAnsi="宋体" w:eastAsia="宋体" w:cs="宋体"/>
          <w:iCs/>
          <w:sz w:val="21"/>
        </w:rPr>
        <w:sym w:font="Wingdings" w:char="00A8"/>
      </w:r>
      <w:r>
        <w:rPr>
          <w:rFonts w:hint="eastAsia" w:ascii="宋体" w:hAnsi="宋体" w:eastAsia="宋体" w:cs="宋体"/>
          <w:iCs/>
          <w:sz w:val="21"/>
        </w:rPr>
        <w:t>部分由外国投资者投资</w:t>
      </w:r>
    </w:p>
    <w:p w14:paraId="554D3DBE">
      <w:pPr>
        <w:numPr>
          <w:ilvl w:val="255"/>
          <w:numId w:val="0"/>
        </w:numPr>
        <w:adjustRightInd w:val="0"/>
        <w:snapToGrid w:val="0"/>
        <w:spacing w:line="400" w:lineRule="exact"/>
        <w:ind w:firstLine="420" w:firstLineChars="200"/>
        <w:rPr>
          <w:rFonts w:ascii="宋体" w:hAnsi="宋体" w:cs="宋体"/>
          <w:szCs w:val="21"/>
        </w:rPr>
      </w:pPr>
      <w:r>
        <w:rPr>
          <w:rFonts w:hint="eastAsia" w:ascii="宋体" w:hAnsi="宋体" w:cs="宋体"/>
          <w:szCs w:val="21"/>
        </w:rPr>
        <w:t>（</w:t>
      </w:r>
      <w:r>
        <w:rPr>
          <w:rFonts w:ascii="宋体" w:hAnsi="宋体" w:cs="宋体"/>
          <w:szCs w:val="21"/>
          <w:lang w:val="en"/>
        </w:rPr>
        <w:t>9</w:t>
      </w:r>
      <w:r>
        <w:rPr>
          <w:rFonts w:hint="eastAsia" w:ascii="宋体" w:hAnsi="宋体" w:cs="宋体"/>
          <w:szCs w:val="21"/>
        </w:rPr>
        <w:t>）是否涉及进口产品：</w:t>
      </w:r>
    </w:p>
    <w:p w14:paraId="0F4688E7">
      <w:pPr>
        <w:numPr>
          <w:ilvl w:val="255"/>
          <w:numId w:val="0"/>
        </w:numPr>
        <w:adjustRightInd w:val="0"/>
        <w:snapToGrid w:val="0"/>
        <w:spacing w:line="400" w:lineRule="exact"/>
        <w:ind w:firstLine="840" w:firstLineChars="400"/>
        <w:rPr>
          <w:rFonts w:ascii="宋体" w:hAnsi="宋体" w:cs="宋体"/>
          <w:szCs w:val="21"/>
          <w:u w:val="single"/>
        </w:rPr>
      </w:pP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是，《政府采购品目分类目录》底级品目名称：</w:t>
      </w:r>
      <w:r>
        <w:rPr>
          <w:rFonts w:hint="eastAsia" w:ascii="宋体" w:hAnsi="宋体" w:cs="宋体"/>
          <w:szCs w:val="21"/>
          <w:u w:val="single"/>
        </w:rPr>
        <w:t xml:space="preserve">         </w:t>
      </w:r>
      <w:r>
        <w:rPr>
          <w:rFonts w:hint="eastAsia" w:ascii="宋体" w:hAnsi="宋体" w:cs="宋体"/>
          <w:szCs w:val="21"/>
        </w:rPr>
        <w:t xml:space="preserve"> 金额：</w:t>
      </w:r>
      <w:r>
        <w:rPr>
          <w:rFonts w:hint="eastAsia" w:ascii="宋体" w:hAnsi="宋体" w:cs="宋体"/>
          <w:szCs w:val="21"/>
          <w:u w:val="single"/>
        </w:rPr>
        <w:t xml:space="preserve">        </w:t>
      </w:r>
    </w:p>
    <w:p w14:paraId="1FFEC875">
      <w:pPr>
        <w:numPr>
          <w:ilvl w:val="255"/>
          <w:numId w:val="0"/>
        </w:numPr>
        <w:adjustRightInd w:val="0"/>
        <w:snapToGrid w:val="0"/>
        <w:spacing w:line="400" w:lineRule="exact"/>
        <w:ind w:firstLine="840" w:firstLineChars="400"/>
        <w:rPr>
          <w:rFonts w:ascii="宋体" w:hAnsi="宋体"/>
          <w:szCs w:val="21"/>
        </w:rPr>
      </w:pPr>
      <w:r>
        <w:rPr>
          <w:rFonts w:hint="eastAsia" w:ascii="宋体" w:hAnsi="宋体" w:cs="宋体"/>
          <w:szCs w:val="21"/>
        </w:rPr>
        <w:t xml:space="preserve">        国别：</w:t>
      </w:r>
      <w:r>
        <w:rPr>
          <w:rFonts w:hint="eastAsia" w:ascii="宋体" w:hAnsi="宋体" w:cs="宋体"/>
          <w:szCs w:val="21"/>
          <w:u w:val="single"/>
        </w:rPr>
        <w:t xml:space="preserve">        </w:t>
      </w:r>
      <w:r>
        <w:rPr>
          <w:rFonts w:hint="eastAsia" w:ascii="宋体" w:hAnsi="宋体" w:cs="宋体"/>
          <w:szCs w:val="21"/>
        </w:rPr>
        <w:t xml:space="preserve"> 品牌：</w:t>
      </w:r>
      <w:r>
        <w:rPr>
          <w:rFonts w:hint="eastAsia" w:ascii="宋体" w:hAnsi="宋体" w:cs="宋体"/>
          <w:szCs w:val="21"/>
          <w:u w:val="single"/>
        </w:rPr>
        <w:t xml:space="preserve">        </w:t>
      </w:r>
      <w:r>
        <w:rPr>
          <w:rFonts w:hint="eastAsia" w:ascii="宋体" w:hAnsi="宋体" w:cs="宋体"/>
          <w:szCs w:val="21"/>
        </w:rPr>
        <w:t xml:space="preserve"> 规格型号：</w:t>
      </w:r>
      <w:r>
        <w:rPr>
          <w:rFonts w:hint="eastAsia" w:ascii="宋体" w:hAnsi="宋体" w:cs="宋体"/>
          <w:szCs w:val="21"/>
          <w:u w:val="single"/>
        </w:rPr>
        <w:t xml:space="preserve">        </w:t>
      </w:r>
      <w:r>
        <w:rPr>
          <w:rFonts w:hint="eastAsia" w:ascii="宋体" w:hAnsi="宋体"/>
          <w:szCs w:val="21"/>
        </w:rPr>
        <w:t xml:space="preserve">      </w:t>
      </w:r>
    </w:p>
    <w:p w14:paraId="0C5CEF5F">
      <w:pPr>
        <w:adjustRightInd w:val="0"/>
        <w:snapToGrid w:val="0"/>
        <w:spacing w:line="400" w:lineRule="exact"/>
        <w:ind w:firstLine="840" w:firstLineChars="400"/>
        <w:rPr>
          <w:rFonts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否</w:t>
      </w:r>
    </w:p>
    <w:p w14:paraId="6457D232">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（1</w:t>
      </w:r>
      <w:r>
        <w:rPr>
          <w:rFonts w:ascii="宋体" w:hAnsi="宋体"/>
          <w:szCs w:val="21"/>
          <w:lang w:val="en"/>
        </w:rPr>
        <w:t>0</w:t>
      </w:r>
      <w:r>
        <w:rPr>
          <w:rFonts w:hint="eastAsia" w:ascii="宋体" w:hAnsi="宋体"/>
          <w:szCs w:val="21"/>
        </w:rPr>
        <w:t>）是否涉及节能产品：</w:t>
      </w:r>
    </w:p>
    <w:p w14:paraId="1827BB55">
      <w:pPr>
        <w:numPr>
          <w:ilvl w:val="255"/>
          <w:numId w:val="0"/>
        </w:numPr>
        <w:tabs>
          <w:tab w:val="left" w:pos="740"/>
        </w:tabs>
        <w:adjustRightInd w:val="0"/>
        <w:snapToGrid w:val="0"/>
        <w:spacing w:line="400" w:lineRule="exact"/>
        <w:rPr>
          <w:rFonts w:ascii="宋体" w:hAnsi="宋体"/>
          <w:iCs/>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是，《节能产品政府采购品目清单》的底级品目名称：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474A6653">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0C444BB5">
      <w:pPr>
        <w:numPr>
          <w:ilvl w:val="255"/>
          <w:numId w:val="0"/>
        </w:numPr>
        <w:tabs>
          <w:tab w:val="left" w:pos="740"/>
        </w:tabs>
        <w:adjustRightInd w:val="0"/>
        <w:snapToGrid w:val="0"/>
        <w:spacing w:line="400" w:lineRule="exact"/>
        <w:rPr>
          <w:rFonts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33191228">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是否涉及环境标志产品：</w:t>
      </w:r>
    </w:p>
    <w:p w14:paraId="63DA533C">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是，《环境标志产品政府采购品目清单》的底级品目名称：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49B8024F">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333D5E8D">
      <w:pPr>
        <w:numPr>
          <w:ilvl w:val="255"/>
          <w:numId w:val="0"/>
        </w:numPr>
        <w:tabs>
          <w:tab w:val="left" w:pos="740"/>
        </w:tabs>
        <w:adjustRightInd w:val="0"/>
        <w:snapToGrid w:val="0"/>
        <w:spacing w:line="400" w:lineRule="exact"/>
        <w:rPr>
          <w:rFonts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5461167F">
      <w:pPr>
        <w:pStyle w:val="102"/>
        <w:numPr>
          <w:ilvl w:val="255"/>
          <w:numId w:val="0"/>
        </w:numPr>
        <w:snapToGrid w:val="0"/>
        <w:rPr>
          <w:rFonts w:ascii="宋体" w:hAnsi="宋体" w:eastAsia="宋体" w:cs="Times New Roman"/>
          <w:kern w:val="2"/>
          <w:sz w:val="21"/>
        </w:rPr>
      </w:pPr>
      <w:r>
        <w:rPr>
          <w:rFonts w:hint="eastAsia" w:ascii="宋体" w:hAnsi="宋体"/>
          <w:sz w:val="21"/>
        </w:rPr>
        <w:t xml:space="preserve">          </w:t>
      </w:r>
      <w:r>
        <w:rPr>
          <w:rFonts w:hint="eastAsia" w:ascii="宋体" w:hAnsi="宋体" w:eastAsia="宋体" w:cs="Times New Roman"/>
          <w:kern w:val="2"/>
          <w:sz w:val="21"/>
        </w:rPr>
        <w:t xml:space="preserve">是否涉及绿色产品： </w:t>
      </w:r>
    </w:p>
    <w:p w14:paraId="2BA8E6B9">
      <w:pPr>
        <w:pStyle w:val="102"/>
        <w:ind w:firstLine="420" w:firstLineChars="0"/>
        <w:rPr>
          <w:rFonts w:ascii="宋体" w:hAnsi="宋体" w:eastAsia="宋体"/>
          <w:u w:val="single"/>
        </w:rPr>
      </w:pPr>
      <w:r>
        <w:rPr>
          <w:rFonts w:hint="eastAsia" w:ascii="宋体" w:hAnsi="宋体" w:eastAsia="宋体" w:cs="Times New Roman"/>
          <w:kern w:val="2"/>
          <w:sz w:val="21"/>
        </w:rPr>
        <w:t xml:space="preserve">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是，绿色产品政府采购相关政策确定的底级品目名称：</w:t>
      </w:r>
      <w:r>
        <w:rPr>
          <w:rFonts w:hint="eastAsia" w:ascii="宋体" w:hAnsi="宋体" w:eastAsia="宋体"/>
          <w:u w:val="single"/>
        </w:rPr>
        <w:t xml:space="preserve">         </w:t>
      </w:r>
    </w:p>
    <w:p w14:paraId="09A7FFDB">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0D0F3453">
      <w:pPr>
        <w:pStyle w:val="102"/>
        <w:ind w:firstLine="420" w:firstLineChars="0"/>
        <w:rPr>
          <w:rFonts w:ascii="宋体" w:hAnsi="宋体"/>
          <w:sz w:val="21"/>
        </w:rPr>
      </w:pPr>
      <w:r>
        <w:rPr>
          <w:rFonts w:hint="eastAsia" w:ascii="宋体" w:hAnsi="宋体" w:eastAsia="宋体" w:cs="Times New Roman"/>
          <w:kern w:val="2"/>
          <w:sz w:val="21"/>
        </w:rPr>
        <w:t xml:space="preserve">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否</w:t>
      </w:r>
    </w:p>
    <w:p w14:paraId="1B571DBC">
      <w:pPr>
        <w:numPr>
          <w:ilvl w:val="255"/>
          <w:numId w:val="0"/>
        </w:numPr>
        <w:adjustRightInd w:val="0"/>
        <w:snapToGrid w:val="0"/>
        <w:spacing w:line="400" w:lineRule="exact"/>
        <w:rPr>
          <w:rFonts w:ascii="宋体" w:hAnsi="宋体"/>
          <w:szCs w:val="21"/>
        </w:rPr>
      </w:pPr>
      <w:r>
        <w:rPr>
          <w:rFonts w:hint="eastAsia" w:ascii="宋体" w:hAnsi="宋体"/>
          <w:szCs w:val="21"/>
        </w:rPr>
        <w:t xml:space="preserve">    （1</w:t>
      </w:r>
      <w:r>
        <w:rPr>
          <w:rFonts w:ascii="宋体" w:hAnsi="宋体"/>
          <w:szCs w:val="21"/>
          <w:lang w:val="en"/>
        </w:rPr>
        <w:t>1</w:t>
      </w:r>
      <w:r>
        <w:rPr>
          <w:rFonts w:hint="eastAsia" w:ascii="宋体" w:hAnsi="宋体"/>
          <w:szCs w:val="21"/>
        </w:rPr>
        <w:t>）涉及商品包装和快递包装的，是否参考《商品包装政府采购需求标准（试行）》、《快递包装政府采购需求标准（试行）》明确产品及相关快递服务的具体包装要求：</w:t>
      </w:r>
    </w:p>
    <w:p w14:paraId="781C7702">
      <w:pPr>
        <w:numPr>
          <w:ilvl w:val="255"/>
          <w:numId w:val="0"/>
        </w:numPr>
        <w:adjustRightInd w:val="0"/>
        <w:snapToGrid w:val="0"/>
        <w:spacing w:line="400" w:lineRule="exact"/>
        <w:ind w:firstLine="840" w:firstLineChars="400"/>
        <w:rPr>
          <w:rFonts w:ascii="宋体" w:hAnsi="宋体"/>
          <w:szCs w:val="21"/>
        </w:rPr>
      </w:pPr>
      <w:r>
        <w:rPr>
          <w:rFonts w:hint="eastAsia" w:ascii="宋体" w:hAnsi="宋体"/>
          <w:szCs w:val="21"/>
        </w:rPr>
        <w:sym w:font="Wingdings" w:char="00A8"/>
      </w:r>
      <w:r>
        <w:rPr>
          <w:rFonts w:hint="eastAsia" w:ascii="宋体" w:hAnsi="宋体"/>
          <w:szCs w:val="21"/>
        </w:rPr>
        <w:t xml:space="preserve">是       </w:t>
      </w:r>
      <w:r>
        <w:rPr>
          <w:rFonts w:hint="eastAsia" w:ascii="宋体" w:hAnsi="宋体"/>
          <w:szCs w:val="21"/>
        </w:rPr>
        <w:sym w:font="Wingdings" w:char="00A8"/>
      </w:r>
      <w:r>
        <w:rPr>
          <w:rFonts w:hint="eastAsia" w:ascii="宋体" w:hAnsi="宋体"/>
          <w:szCs w:val="21"/>
        </w:rPr>
        <w:t xml:space="preserve">否      </w:t>
      </w:r>
      <w:r>
        <w:rPr>
          <w:rFonts w:hint="eastAsia" w:ascii="宋体" w:hAnsi="宋体"/>
          <w:szCs w:val="21"/>
        </w:rPr>
        <w:sym w:font="Wingdings" w:char="00A8"/>
      </w:r>
      <w:r>
        <w:rPr>
          <w:rFonts w:hint="eastAsia" w:ascii="宋体" w:hAnsi="宋体"/>
          <w:szCs w:val="21"/>
        </w:rPr>
        <w:t>不涉及</w:t>
      </w:r>
    </w:p>
    <w:p w14:paraId="770E6D07">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合同金额</w:t>
      </w:r>
    </w:p>
    <w:p w14:paraId="7F79958F">
      <w:pPr>
        <w:adjustRightInd w:val="0"/>
        <w:snapToGrid w:val="0"/>
        <w:spacing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p>
    <w:p w14:paraId="766B7E11">
      <w:pPr>
        <w:adjustRightInd w:val="0"/>
        <w:snapToGrid w:val="0"/>
        <w:spacing w:line="400" w:lineRule="exact"/>
        <w:rPr>
          <w:rFonts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14D03A67">
      <w:pPr>
        <w:adjustRightInd w:val="0"/>
        <w:snapToGrid w:val="0"/>
        <w:spacing w:line="400" w:lineRule="exact"/>
        <w:rPr>
          <w:rFonts w:ascii="宋体" w:hAnsi="宋体"/>
          <w:szCs w:val="21"/>
        </w:rPr>
      </w:pPr>
      <w:r>
        <w:rPr>
          <w:rFonts w:hint="eastAsia" w:ascii="宋体" w:hAnsi="宋体"/>
          <w:szCs w:val="21"/>
        </w:rPr>
        <w:t xml:space="preserve">         分包金额（如有）小写：</w:t>
      </w:r>
      <w:r>
        <w:rPr>
          <w:rFonts w:hint="eastAsia" w:ascii="宋体" w:hAnsi="宋体"/>
          <w:szCs w:val="21"/>
          <w:u w:val="single"/>
        </w:rPr>
        <w:t xml:space="preserve">                   </w:t>
      </w:r>
    </w:p>
    <w:p w14:paraId="135D4E5F">
      <w:pPr>
        <w:adjustRightInd w:val="0"/>
        <w:snapToGrid w:val="0"/>
        <w:spacing w:line="400" w:lineRule="exact"/>
        <w:rPr>
          <w:rFonts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7D945AE4">
      <w:pPr>
        <w:adjustRightInd w:val="0"/>
        <w:snapToGrid w:val="0"/>
        <w:spacing w:line="400" w:lineRule="exact"/>
        <w:rPr>
          <w:rFonts w:ascii="宋体" w:hAnsi="宋体"/>
          <w:szCs w:val="21"/>
        </w:rPr>
      </w:pPr>
      <w:r>
        <w:rPr>
          <w:rFonts w:hint="eastAsia" w:ascii="宋体" w:hAnsi="宋体"/>
          <w:szCs w:val="21"/>
        </w:rPr>
        <w:t xml:space="preserve">    （注：固定单价合同应填写单价和最高限价）</w:t>
      </w:r>
    </w:p>
    <w:p w14:paraId="3F6FC880">
      <w:pPr>
        <w:numPr>
          <w:ilvl w:val="255"/>
          <w:numId w:val="0"/>
        </w:numPr>
        <w:adjustRightInd w:val="0"/>
        <w:snapToGrid w:val="0"/>
        <w:spacing w:line="400" w:lineRule="exact"/>
        <w:rPr>
          <w:rFonts w:ascii="宋体" w:hAnsi="宋体"/>
          <w:szCs w:val="21"/>
        </w:rPr>
      </w:pPr>
      <w:r>
        <w:rPr>
          <w:rFonts w:hint="eastAsia" w:ascii="宋体" w:hAnsi="宋体"/>
          <w:szCs w:val="21"/>
        </w:rPr>
        <w:t xml:space="preserve">    （2）合同定价方式（采用组合定价方式的，可以勾选多项）：</w:t>
      </w:r>
    </w:p>
    <w:p w14:paraId="3E6BB117">
      <w:pPr>
        <w:adjustRightInd w:val="0"/>
        <w:snapToGrid w:val="0"/>
        <w:spacing w:line="400" w:lineRule="exact"/>
        <w:ind w:firstLine="420" w:firstLineChars="200"/>
        <w:rPr>
          <w:rFonts w:ascii="宋体" w:hAnsi="宋体"/>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 xml:space="preserve">固定单价 </w:t>
      </w:r>
      <w:r>
        <w:rPr>
          <w:rFonts w:hint="eastAsia" w:ascii="宋体" w:hAnsi="宋体"/>
          <w:iCs/>
          <w:szCs w:val="21"/>
        </w:rPr>
        <w:sym w:font="Wingdings" w:char="00A8"/>
      </w:r>
      <w:r>
        <w:rPr>
          <w:rFonts w:hint="eastAsia" w:ascii="宋体" w:hAnsi="宋体"/>
          <w:iCs/>
          <w:szCs w:val="21"/>
        </w:rPr>
        <w:t xml:space="preserve">固定费率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 xml:space="preserve">绩效激励 </w:t>
      </w:r>
      <w:r>
        <w:rPr>
          <w:rFonts w:hint="eastAsia" w:ascii="宋体" w:hAnsi="宋体"/>
          <w:iCs/>
          <w:szCs w:val="21"/>
        </w:rPr>
        <w:sym w:font="Wingdings" w:char="00A8"/>
      </w:r>
      <w:r>
        <w:rPr>
          <w:rFonts w:hint="eastAsia" w:ascii="宋体" w:hAnsi="宋体"/>
          <w:iCs/>
          <w:szCs w:val="21"/>
        </w:rPr>
        <w:t>其他</w:t>
      </w:r>
      <w:r>
        <w:rPr>
          <w:rFonts w:hint="eastAsia" w:ascii="宋体" w:hAnsi="宋体"/>
          <w:szCs w:val="21"/>
          <w:u w:val="single"/>
        </w:rPr>
        <w:t xml:space="preserve">       </w:t>
      </w:r>
    </w:p>
    <w:p w14:paraId="447589FC">
      <w:pPr>
        <w:pStyle w:val="103"/>
        <w:spacing w:line="400" w:lineRule="exact"/>
      </w:pPr>
      <w:r>
        <w:rPr>
          <w:rFonts w:hint="eastAsia" w:ascii="宋体" w:hAnsi="宋体"/>
        </w:rPr>
        <w:t>（3）付款方式（按项目实际勾选填写）：</w:t>
      </w:r>
    </w:p>
    <w:p w14:paraId="6C3B5F16">
      <w:pPr>
        <w:adjustRightInd w:val="0"/>
        <w:snapToGrid w:val="0"/>
        <w:spacing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（应明确一次性支付合同款项的条件）                    </w:t>
      </w:r>
    </w:p>
    <w:p w14:paraId="3CBBC754">
      <w:pPr>
        <w:snapToGrid w:val="0"/>
        <w:spacing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（应明确分期支付合同款项的各期比例和支付条件，各期支付条件应与分期履约验收情况挂钩） </w:t>
      </w:r>
      <w:r>
        <w:rPr>
          <w:rFonts w:hint="eastAsia" w:ascii="宋体" w:hAnsi="宋体"/>
          <w:szCs w:val="21"/>
        </w:rPr>
        <w:t>，其中涉及预付款的：</w:t>
      </w:r>
      <w:r>
        <w:rPr>
          <w:rFonts w:hint="eastAsia" w:ascii="宋体" w:hAnsi="宋体"/>
          <w:szCs w:val="21"/>
          <w:u w:val="single"/>
        </w:rPr>
        <w:t xml:space="preserve"> （应明确预付款的支付比例和支付条件） </w:t>
      </w:r>
    </w:p>
    <w:p w14:paraId="0ADAB092">
      <w:pPr>
        <w:adjustRightInd w:val="0"/>
        <w:snapToGrid w:val="0"/>
        <w:spacing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02B4765C">
      <w:pPr>
        <w:adjustRightInd w:val="0"/>
        <w:snapToGrid w:val="0"/>
        <w:spacing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602D4611">
      <w:pPr>
        <w:numPr>
          <w:ilvl w:val="0"/>
          <w:numId w:val="6"/>
        </w:numPr>
        <w:adjustRightInd w:val="0"/>
        <w:snapToGrid w:val="0"/>
        <w:spacing w:line="400" w:lineRule="exact"/>
        <w:ind w:firstLine="422" w:firstLineChars="200"/>
        <w:rPr>
          <w:rFonts w:ascii="宋体" w:hAnsi="宋体"/>
          <w:b/>
          <w:szCs w:val="21"/>
          <w:u w:val="single"/>
        </w:rPr>
      </w:pPr>
      <w:r>
        <w:rPr>
          <w:rFonts w:hint="eastAsia" w:ascii="宋体" w:hAnsi="宋体"/>
          <w:b/>
          <w:szCs w:val="21"/>
        </w:rPr>
        <w:t>合同履行</w:t>
      </w:r>
    </w:p>
    <w:p w14:paraId="43E5DF2E">
      <w:pPr>
        <w:adjustRightInd w:val="0"/>
        <w:snapToGrid w:val="0"/>
        <w:spacing w:line="400" w:lineRule="exact"/>
        <w:ind w:firstLine="420" w:firstLineChars="200"/>
        <w:rPr>
          <w:rFonts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64AFD2DB">
      <w:pPr>
        <w:adjustRightInd w:val="0"/>
        <w:snapToGrid w:val="0"/>
        <w:spacing w:line="400" w:lineRule="exact"/>
        <w:ind w:firstLine="420" w:firstLineChars="200"/>
        <w:rPr>
          <w:rFonts w:ascii="宋体" w:hAnsi="宋体" w:cs="宋体"/>
          <w:szCs w:val="21"/>
          <w:u w:val="single"/>
        </w:rPr>
      </w:pPr>
      <w:r>
        <w:rPr>
          <w:rFonts w:hint="eastAsia" w:ascii="宋体" w:hAnsi="宋体" w:cs="宋体"/>
          <w:szCs w:val="21"/>
        </w:rPr>
        <w:t>（2）履约地点</w:t>
      </w:r>
      <w:r>
        <w:rPr>
          <w:rFonts w:hint="eastAsia" w:ascii="宋体" w:hAnsi="宋体" w:cs="宋体"/>
          <w:bCs/>
          <w:szCs w:val="21"/>
        </w:rPr>
        <w:t>：</w:t>
      </w:r>
      <w:r>
        <w:rPr>
          <w:rFonts w:hint="eastAsia" w:ascii="宋体" w:hAnsi="宋体" w:cs="宋体"/>
          <w:szCs w:val="21"/>
          <w:u w:val="single"/>
        </w:rPr>
        <w:t xml:space="preserve">                             </w:t>
      </w:r>
    </w:p>
    <w:p w14:paraId="48391205">
      <w:pPr>
        <w:adjustRightInd w:val="0"/>
        <w:snapToGrid w:val="0"/>
        <w:spacing w:line="400" w:lineRule="exact"/>
        <w:ind w:firstLine="420" w:firstLineChars="200"/>
        <w:rPr>
          <w:rFonts w:ascii="宋体" w:hAnsi="宋体" w:cs="宋体"/>
          <w:szCs w:val="21"/>
        </w:rPr>
      </w:pPr>
      <w:r>
        <w:rPr>
          <w:rFonts w:hint="eastAsia" w:ascii="宋体" w:hAnsi="宋体" w:cs="宋体"/>
          <w:bCs/>
          <w:szCs w:val="21"/>
        </w:rPr>
        <w:t>（3）履约担保：</w:t>
      </w:r>
      <w:r>
        <w:rPr>
          <w:rFonts w:hint="eastAsia" w:ascii="宋体" w:hAnsi="宋体" w:cs="宋体"/>
        </w:rPr>
        <w:t>是否收取履约保证金：</w:t>
      </w:r>
      <w:r>
        <w:rPr>
          <w:rFonts w:hint="eastAsia" w:ascii="宋体" w:hAnsi="宋体" w:cs="宋体"/>
          <w:szCs w:val="21"/>
        </w:rPr>
        <w:sym w:font="Wingdings" w:char="00A8"/>
      </w:r>
      <w:r>
        <w:rPr>
          <w:rFonts w:hint="eastAsia" w:ascii="宋体" w:hAnsi="宋体" w:cs="宋体"/>
          <w:szCs w:val="21"/>
        </w:rPr>
        <w:t xml:space="preserve">是    </w:t>
      </w:r>
      <w:r>
        <w:rPr>
          <w:rFonts w:hint="eastAsia" w:ascii="宋体" w:hAnsi="宋体" w:cs="宋体"/>
          <w:szCs w:val="21"/>
        </w:rPr>
        <w:sym w:font="Wingdings" w:char="00A8"/>
      </w:r>
      <w:r>
        <w:rPr>
          <w:rFonts w:hint="eastAsia" w:ascii="宋体" w:hAnsi="宋体" w:cs="宋体"/>
          <w:szCs w:val="21"/>
        </w:rPr>
        <w:t>否</w:t>
      </w:r>
    </w:p>
    <w:p w14:paraId="50752A53">
      <w:pPr>
        <w:pStyle w:val="102"/>
        <w:rPr>
          <w:rFonts w:ascii="宋体" w:hAnsi="宋体" w:eastAsia="宋体" w:cs="宋体"/>
          <w:sz w:val="21"/>
        </w:rPr>
      </w:pPr>
      <w:r>
        <w:rPr>
          <w:rFonts w:hint="eastAsia" w:ascii="宋体" w:hAnsi="宋体" w:cs="宋体"/>
          <w:bCs/>
        </w:rPr>
        <w:t xml:space="preserve">  </w:t>
      </w:r>
      <w:r>
        <w:rPr>
          <w:rFonts w:hint="eastAsia" w:ascii="宋体" w:hAnsi="宋体" w:eastAsia="宋体" w:cs="宋体"/>
          <w:sz w:val="21"/>
        </w:rPr>
        <w:t xml:space="preserve">  收取履约保证金形式：</w:t>
      </w:r>
      <w:r>
        <w:rPr>
          <w:rFonts w:hint="eastAsia" w:ascii="宋体" w:hAnsi="宋体" w:eastAsia="宋体" w:cs="宋体"/>
          <w:bCs/>
          <w:sz w:val="21"/>
          <w:u w:val="single"/>
        </w:rPr>
        <w:t xml:space="preserve">                            </w:t>
      </w:r>
    </w:p>
    <w:p w14:paraId="39E58A32">
      <w:pPr>
        <w:pStyle w:val="102"/>
        <w:ind w:firstLine="420"/>
        <w:rPr>
          <w:rFonts w:ascii="宋体" w:hAnsi="宋体" w:eastAsia="宋体" w:cs="宋体"/>
          <w:sz w:val="21"/>
        </w:rPr>
      </w:pPr>
      <w:r>
        <w:rPr>
          <w:rFonts w:hint="eastAsia" w:ascii="宋体" w:hAnsi="宋体" w:eastAsia="宋体" w:cs="宋体"/>
          <w:sz w:val="21"/>
        </w:rPr>
        <w:t xml:space="preserve">    收取履约保证金金额：</w:t>
      </w:r>
      <w:r>
        <w:rPr>
          <w:rFonts w:hint="eastAsia" w:ascii="宋体" w:hAnsi="宋体" w:eastAsia="宋体" w:cs="宋体"/>
          <w:bCs/>
          <w:sz w:val="21"/>
          <w:u w:val="single"/>
        </w:rPr>
        <w:t xml:space="preserve">                            </w:t>
      </w:r>
    </w:p>
    <w:p w14:paraId="35F3640D">
      <w:pPr>
        <w:snapToGrid w:val="0"/>
        <w:spacing w:line="400" w:lineRule="exact"/>
        <w:ind w:firstLine="420" w:firstLineChars="200"/>
        <w:rPr>
          <w:rFonts w:ascii="宋体" w:hAnsi="宋体" w:cs="宋体"/>
        </w:rPr>
      </w:pPr>
      <w:r>
        <w:rPr>
          <w:rFonts w:hint="eastAsia" w:ascii="宋体" w:hAnsi="宋体" w:cs="宋体"/>
          <w:bCs/>
          <w:szCs w:val="21"/>
        </w:rPr>
        <w:t xml:space="preserve">    履约担保期限：</w:t>
      </w:r>
      <w:r>
        <w:rPr>
          <w:rFonts w:hint="eastAsia" w:ascii="宋体" w:hAnsi="宋体" w:cs="宋体"/>
          <w:bCs/>
          <w:szCs w:val="21"/>
          <w:u w:val="single"/>
        </w:rPr>
        <w:t xml:space="preserve">                                  </w:t>
      </w:r>
    </w:p>
    <w:p w14:paraId="55520FED">
      <w:pPr>
        <w:adjustRightInd w:val="0"/>
        <w:snapToGrid w:val="0"/>
        <w:spacing w:line="400" w:lineRule="exact"/>
        <w:ind w:firstLine="420" w:firstLineChars="200"/>
        <w:rPr>
          <w:rFonts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p>
    <w:p w14:paraId="4839E2B2">
      <w:pPr>
        <w:adjustRightInd w:val="0"/>
        <w:snapToGrid w:val="0"/>
        <w:spacing w:line="400" w:lineRule="exact"/>
        <w:ind w:firstLine="420" w:firstLineChars="200"/>
        <w:rPr>
          <w:rFonts w:ascii="宋体" w:hAnsi="宋体" w:cs="宋体"/>
          <w:szCs w:val="21"/>
          <w:u w:val="single"/>
        </w:rPr>
      </w:pPr>
      <w:r>
        <w:rPr>
          <w:rFonts w:hint="eastAsia" w:ascii="宋体" w:hAnsi="宋体" w:cs="宋体"/>
          <w:bCs/>
          <w:szCs w:val="21"/>
        </w:rPr>
        <w:t>（5）风险处置措施和替代方案：</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6FBA9A35">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合同验收</w:t>
      </w:r>
    </w:p>
    <w:p w14:paraId="64BAD166">
      <w:pPr>
        <w:numPr>
          <w:ilvl w:val="0"/>
          <w:numId w:val="8"/>
        </w:numPr>
        <w:adjustRightInd w:val="0"/>
        <w:snapToGrid w:val="0"/>
        <w:spacing w:line="400" w:lineRule="exact"/>
        <w:ind w:firstLine="420" w:firstLineChars="200"/>
        <w:rPr>
          <w:rFonts w:ascii="宋体" w:hAnsi="宋体"/>
          <w:bCs/>
          <w:szCs w:val="21"/>
        </w:rPr>
      </w:pPr>
      <w:r>
        <w:rPr>
          <w:rFonts w:hint="eastAsia" w:ascii="宋体" w:hAnsi="宋体"/>
          <w:bCs/>
          <w:szCs w:val="21"/>
        </w:rPr>
        <w:t>验收组织方式：</w:t>
      </w:r>
      <w:r>
        <w:rPr>
          <w:rFonts w:hint="eastAsia" w:ascii="宋体" w:hAnsi="宋体" w:cs="宋体"/>
          <w:szCs w:val="21"/>
        </w:rPr>
        <w:sym w:font="Wingdings" w:char="00A8"/>
      </w:r>
      <w:r>
        <w:rPr>
          <w:rFonts w:hint="eastAsia" w:ascii="宋体" w:hAnsi="宋体"/>
          <w:bCs/>
          <w:szCs w:val="21"/>
        </w:rPr>
        <w:t xml:space="preserve">自行组织 </w:t>
      </w:r>
      <w:r>
        <w:rPr>
          <w:rFonts w:hint="eastAsia" w:ascii="宋体" w:hAnsi="宋体" w:cs="宋体"/>
          <w:szCs w:val="21"/>
        </w:rPr>
        <w:sym w:font="Wingdings" w:char="00A8"/>
      </w:r>
      <w:r>
        <w:rPr>
          <w:rFonts w:hint="eastAsia" w:ascii="宋体" w:hAnsi="宋体"/>
          <w:bCs/>
          <w:szCs w:val="21"/>
        </w:rPr>
        <w:t>委托第三方组织</w:t>
      </w:r>
    </w:p>
    <w:p w14:paraId="6E00107E">
      <w:pPr>
        <w:adjustRightInd w:val="0"/>
        <w:snapToGrid w:val="0"/>
        <w:spacing w:line="400" w:lineRule="exact"/>
        <w:rPr>
          <w:rFonts w:ascii="宋体" w:hAnsi="宋体"/>
          <w:bCs/>
          <w:szCs w:val="21"/>
        </w:rPr>
      </w:pPr>
      <w:r>
        <w:rPr>
          <w:rFonts w:hint="eastAsia" w:ascii="宋体" w:hAnsi="宋体"/>
          <w:bCs/>
          <w:szCs w:val="21"/>
        </w:rPr>
        <w:t xml:space="preserve">         验收主体：</w:t>
      </w:r>
      <w:r>
        <w:rPr>
          <w:rFonts w:hint="eastAsia" w:ascii="宋体" w:hAnsi="宋体"/>
          <w:bCs/>
          <w:szCs w:val="21"/>
          <w:u w:val="single"/>
        </w:rPr>
        <w:t xml:space="preserve">                  </w:t>
      </w:r>
    </w:p>
    <w:p w14:paraId="138594D5">
      <w:pPr>
        <w:adjustRightInd w:val="0"/>
        <w:snapToGrid w:val="0"/>
        <w:spacing w:line="400" w:lineRule="exact"/>
        <w:rPr>
          <w:rFonts w:ascii="宋体" w:hAnsi="宋体"/>
          <w:bCs/>
          <w:szCs w:val="21"/>
        </w:rPr>
      </w:pPr>
      <w:r>
        <w:rPr>
          <w:rFonts w:hint="eastAsia" w:ascii="宋体" w:hAnsi="宋体"/>
          <w:bCs/>
          <w:szCs w:val="21"/>
        </w:rPr>
        <w:t xml:space="preserve">        是否邀请本项目的其他供应商参加验收：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06AB67F4">
      <w:pPr>
        <w:adjustRightInd w:val="0"/>
        <w:snapToGrid w:val="0"/>
        <w:spacing w:line="400" w:lineRule="exact"/>
        <w:ind w:firstLine="840" w:firstLineChars="400"/>
        <w:rPr>
          <w:rFonts w:ascii="宋体" w:hAnsi="宋体"/>
          <w:bCs/>
          <w:szCs w:val="21"/>
        </w:rPr>
      </w:pPr>
      <w:r>
        <w:rPr>
          <w:rFonts w:hint="eastAsia" w:ascii="宋体" w:hAnsi="宋体"/>
          <w:bCs/>
          <w:szCs w:val="21"/>
        </w:rPr>
        <w:t>是否邀请专家参加验收：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78BFB46F">
      <w:pPr>
        <w:adjustRightInd w:val="0"/>
        <w:snapToGrid w:val="0"/>
        <w:spacing w:line="400" w:lineRule="exact"/>
        <w:ind w:firstLine="840" w:firstLineChars="400"/>
        <w:rPr>
          <w:rFonts w:ascii="宋体" w:hAnsi="宋体"/>
          <w:bCs/>
          <w:szCs w:val="21"/>
        </w:rPr>
      </w:pPr>
      <w:r>
        <w:rPr>
          <w:rFonts w:hint="eastAsia" w:ascii="宋体" w:hAnsi="宋体"/>
          <w:bCs/>
          <w:szCs w:val="21"/>
        </w:rPr>
        <w:t>是否邀请服务对象参加验收：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6D79FA63">
      <w:pPr>
        <w:adjustRightInd w:val="0"/>
        <w:snapToGrid w:val="0"/>
        <w:spacing w:line="400" w:lineRule="exact"/>
        <w:ind w:firstLine="840" w:firstLineChars="400"/>
        <w:rPr>
          <w:rFonts w:ascii="宋体" w:hAnsi="宋体"/>
          <w:bCs/>
          <w:szCs w:val="21"/>
        </w:rPr>
      </w:pPr>
      <w:r>
        <w:rPr>
          <w:rFonts w:hint="eastAsia" w:ascii="宋体" w:hAnsi="宋体"/>
          <w:bCs/>
          <w:szCs w:val="21"/>
        </w:rPr>
        <w:t>是否邀请第三方检测机构参加验收：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7B878FBD">
      <w:pPr>
        <w:adjustRightInd w:val="0"/>
        <w:snapToGrid w:val="0"/>
        <w:spacing w:line="400" w:lineRule="exact"/>
        <w:ind w:firstLine="840" w:firstLineChars="400"/>
        <w:rPr>
          <w:rFonts w:ascii="宋体" w:hAnsi="宋体"/>
          <w:bCs/>
          <w:szCs w:val="21"/>
        </w:rPr>
      </w:pPr>
      <w:r>
        <w:rPr>
          <w:rFonts w:hint="eastAsia" w:ascii="宋体" w:hAnsi="宋体"/>
          <w:bCs/>
          <w:szCs w:val="21"/>
        </w:rPr>
        <w:t>是否进行抽查检测：</w:t>
      </w:r>
      <w:r>
        <w:rPr>
          <w:rFonts w:hint="eastAsia" w:ascii="宋体" w:hAnsi="宋体" w:cs="宋体"/>
          <w:szCs w:val="21"/>
        </w:rPr>
        <w:sym w:font="Wingdings" w:char="00A8"/>
      </w:r>
      <w:r>
        <w:rPr>
          <w:rFonts w:hint="eastAsia" w:ascii="宋体" w:hAnsi="宋体"/>
          <w:bCs/>
          <w:szCs w:val="21"/>
        </w:rPr>
        <w:t>是，抽查比例：</w:t>
      </w:r>
      <w:r>
        <w:rPr>
          <w:rFonts w:hint="eastAsia" w:ascii="宋体" w:hAnsi="宋体"/>
          <w:bCs/>
          <w:szCs w:val="21"/>
          <w:u w:val="single"/>
        </w:rPr>
        <w:t xml:space="preserve">        </w:t>
      </w: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1AA23588">
      <w:pPr>
        <w:adjustRightInd w:val="0"/>
        <w:snapToGrid w:val="0"/>
        <w:spacing w:line="400" w:lineRule="exact"/>
        <w:ind w:firstLine="840" w:firstLineChars="400"/>
        <w:rPr>
          <w:rFonts w:ascii="宋体" w:hAnsi="宋体"/>
          <w:bCs/>
          <w:szCs w:val="21"/>
          <w:u w:val="single"/>
        </w:rPr>
      </w:pPr>
      <w:r>
        <w:rPr>
          <w:rFonts w:hint="eastAsia" w:ascii="宋体" w:hAnsi="宋体"/>
          <w:bCs/>
          <w:szCs w:val="21"/>
        </w:rPr>
        <w:t>是否存在破坏性检测：</w:t>
      </w:r>
      <w:r>
        <w:rPr>
          <w:rFonts w:hint="eastAsia" w:ascii="宋体" w:hAnsi="宋体" w:cs="宋体"/>
          <w:szCs w:val="21"/>
        </w:rPr>
        <w:sym w:font="Wingdings" w:char="00A8"/>
      </w:r>
      <w:r>
        <w:rPr>
          <w:rFonts w:hint="eastAsia" w:ascii="宋体" w:hAnsi="宋体"/>
          <w:bCs/>
          <w:szCs w:val="21"/>
        </w:rPr>
        <w:t>是，</w:t>
      </w:r>
      <w:r>
        <w:rPr>
          <w:rFonts w:hint="eastAsia" w:ascii="宋体" w:hAnsi="宋体"/>
          <w:bCs/>
          <w:szCs w:val="21"/>
          <w:u w:val="single"/>
        </w:rPr>
        <w:t>（应明确对被破坏的检测产品的处理方式）</w:t>
      </w:r>
    </w:p>
    <w:p w14:paraId="5BEC5D39">
      <w:pPr>
        <w:adjustRightInd w:val="0"/>
        <w:snapToGrid w:val="0"/>
        <w:spacing w:line="400" w:lineRule="exact"/>
        <w:ind w:firstLine="840" w:firstLineChars="400"/>
        <w:rPr>
          <w:rFonts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15C1441A">
      <w:pPr>
        <w:adjustRightInd w:val="0"/>
        <w:snapToGrid w:val="0"/>
        <w:spacing w:line="400" w:lineRule="exact"/>
        <w:ind w:firstLine="840" w:firstLineChars="400"/>
        <w:rPr>
          <w:rFonts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325E5E9B">
      <w:pPr>
        <w:adjustRightInd w:val="0"/>
        <w:snapToGrid w:val="0"/>
        <w:spacing w:line="400" w:lineRule="exact"/>
        <w:ind w:firstLine="420" w:firstLineChars="200"/>
        <w:rPr>
          <w:rFonts w:ascii="宋体" w:hAnsi="宋体"/>
          <w:bCs/>
          <w:szCs w:val="21"/>
          <w:u w:val="single"/>
        </w:rPr>
      </w:pPr>
      <w:r>
        <w:rPr>
          <w:rFonts w:hint="eastAsia" w:ascii="宋体" w:hAnsi="宋体"/>
          <w:bCs/>
          <w:szCs w:val="21"/>
        </w:rPr>
        <w:t>（2）履约验收时间：</w:t>
      </w:r>
      <w:r>
        <w:rPr>
          <w:rFonts w:hint="eastAsia" w:ascii="宋体" w:hAnsi="宋体"/>
          <w:bCs/>
          <w:szCs w:val="21"/>
          <w:u w:val="single"/>
        </w:rPr>
        <w:t xml:space="preserve">（计划于何时验收/供应商提出验收申请之日起   日内组织验收） </w:t>
      </w:r>
    </w:p>
    <w:p w14:paraId="69602CE2">
      <w:pPr>
        <w:adjustRightInd w:val="0"/>
        <w:snapToGrid w:val="0"/>
        <w:spacing w:line="400" w:lineRule="exact"/>
        <w:ind w:firstLine="420" w:firstLineChars="200"/>
        <w:rPr>
          <w:rFonts w:ascii="宋体" w:hAnsi="宋体"/>
          <w:bCs/>
          <w:szCs w:val="21"/>
        </w:rPr>
      </w:pPr>
      <w:r>
        <w:rPr>
          <w:rFonts w:hint="eastAsia" w:ascii="宋体" w:hAnsi="宋体"/>
          <w:bCs/>
          <w:szCs w:val="21"/>
        </w:rPr>
        <w:t>（3）履约验收方式：</w:t>
      </w:r>
      <w:r>
        <w:rPr>
          <w:rFonts w:hint="eastAsia" w:ascii="宋体" w:hAnsi="宋体" w:cs="宋体"/>
          <w:szCs w:val="21"/>
        </w:rPr>
        <w:sym w:font="Wingdings" w:char="00A8"/>
      </w:r>
      <w:r>
        <w:rPr>
          <w:rFonts w:hint="eastAsia" w:ascii="宋体" w:hAnsi="宋体"/>
          <w:bCs/>
          <w:szCs w:val="21"/>
        </w:rPr>
        <w:t xml:space="preserve">一次性验收         </w:t>
      </w:r>
    </w:p>
    <w:p w14:paraId="29A6CC5E">
      <w:pPr>
        <w:adjustRightInd w:val="0"/>
        <w:snapToGrid w:val="0"/>
        <w:spacing w:line="400" w:lineRule="exact"/>
        <w:rPr>
          <w:rFonts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分期/分项验收：</w:t>
      </w:r>
      <w:r>
        <w:rPr>
          <w:rFonts w:hint="eastAsia" w:ascii="宋体" w:hAnsi="宋体"/>
          <w:bCs/>
          <w:szCs w:val="21"/>
          <w:u w:val="single"/>
        </w:rPr>
        <w:t xml:space="preserve"> （应明确分期</w:t>
      </w:r>
      <w:r>
        <w:rPr>
          <w:rFonts w:ascii="宋体" w:hAnsi="宋体"/>
          <w:bCs/>
          <w:szCs w:val="21"/>
          <w:u w:val="single"/>
          <w:lang w:val="en"/>
        </w:rPr>
        <w:t>/</w:t>
      </w:r>
      <w:r>
        <w:rPr>
          <w:rFonts w:hint="eastAsia" w:ascii="宋体" w:hAnsi="宋体"/>
          <w:bCs/>
          <w:szCs w:val="21"/>
          <w:u w:val="single"/>
          <w:lang w:val="en"/>
        </w:rPr>
        <w:t>分项验收的工作安排</w:t>
      </w:r>
      <w:r>
        <w:rPr>
          <w:rFonts w:hint="eastAsia" w:ascii="宋体" w:hAnsi="宋体"/>
          <w:bCs/>
          <w:szCs w:val="21"/>
          <w:u w:val="single"/>
        </w:rPr>
        <w:t xml:space="preserve">）  </w:t>
      </w:r>
    </w:p>
    <w:p w14:paraId="7EFB0C0F">
      <w:pPr>
        <w:adjustRightInd w:val="0"/>
        <w:snapToGrid w:val="0"/>
        <w:spacing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000A9A75">
      <w:pPr>
        <w:adjustRightInd w:val="0"/>
        <w:snapToGrid w:val="0"/>
        <w:spacing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（应当包括每一项技术和商务要求的履约情况，特别是落实政府采购扶持中小企业，支持绿色发展和乡村振兴等政策情况）                                      </w:t>
      </w:r>
    </w:p>
    <w:p w14:paraId="31D4297C">
      <w:pPr>
        <w:adjustRightInd w:val="0"/>
        <w:snapToGrid w:val="0"/>
        <w:spacing w:line="400" w:lineRule="exact"/>
        <w:ind w:firstLine="420" w:firstLineChars="200"/>
        <w:rPr>
          <w:rFonts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33484F9E">
      <w:pPr>
        <w:pStyle w:val="102"/>
        <w:ind w:firstLine="420"/>
        <w:rPr>
          <w:rFonts w:ascii="宋体" w:hAnsi="宋体" w:eastAsia="宋体" w:cs="宋体"/>
          <w:sz w:val="21"/>
        </w:rPr>
      </w:pPr>
      <w:r>
        <w:rPr>
          <w:rFonts w:hint="eastAsia" w:ascii="宋体" w:hAnsi="宋体" w:eastAsia="宋体" w:cs="宋体"/>
          <w:bCs/>
          <w:sz w:val="21"/>
        </w:rPr>
        <w:t>（7）是否以采购活动中供应商提供的样品作为参考：</w:t>
      </w:r>
      <w:r>
        <w:rPr>
          <w:rFonts w:hint="eastAsia" w:ascii="宋体" w:hAnsi="宋体" w:eastAsia="宋体" w:cs="宋体"/>
          <w:sz w:val="21"/>
        </w:rPr>
        <w:sym w:font="Wingdings" w:char="00A8"/>
      </w:r>
      <w:r>
        <w:rPr>
          <w:rFonts w:hint="eastAsia" w:ascii="宋体" w:hAnsi="宋体" w:eastAsia="宋体" w:cs="宋体"/>
          <w:bCs/>
          <w:sz w:val="21"/>
        </w:rPr>
        <w:t xml:space="preserve">是  </w:t>
      </w:r>
      <w:r>
        <w:rPr>
          <w:rFonts w:hint="eastAsia" w:ascii="宋体" w:hAnsi="宋体" w:eastAsia="宋体" w:cs="宋体"/>
          <w:sz w:val="21"/>
        </w:rPr>
        <w:sym w:font="Wingdings" w:char="00A8"/>
      </w:r>
      <w:r>
        <w:rPr>
          <w:rFonts w:hint="eastAsia" w:ascii="宋体" w:hAnsi="宋体" w:eastAsia="宋体" w:cs="宋体"/>
          <w:bCs/>
          <w:sz w:val="21"/>
        </w:rPr>
        <w:t>否</w:t>
      </w:r>
    </w:p>
    <w:p w14:paraId="78233224">
      <w:pPr>
        <w:adjustRightInd w:val="0"/>
        <w:snapToGrid w:val="0"/>
        <w:spacing w:line="400" w:lineRule="exact"/>
        <w:ind w:firstLine="420" w:firstLineChars="200"/>
        <w:rPr>
          <w:rFonts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（产权过户登记等）          </w:t>
      </w:r>
    </w:p>
    <w:p w14:paraId="794795CC">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组成合同的文件</w:t>
      </w:r>
    </w:p>
    <w:p w14:paraId="4A4AA3BA">
      <w:pPr>
        <w:adjustRightInd w:val="0"/>
        <w:snapToGrid w:val="0"/>
        <w:spacing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2C77F0B6">
      <w:pPr>
        <w:adjustRightInd w:val="0"/>
        <w:snapToGrid w:val="0"/>
        <w:spacing w:line="400" w:lineRule="exact"/>
        <w:ind w:firstLine="420" w:firstLineChars="200"/>
        <w:rPr>
          <w:rFonts w:ascii="宋体" w:hAnsi="宋体"/>
          <w:szCs w:val="21"/>
        </w:rPr>
      </w:pPr>
      <w:r>
        <w:rPr>
          <w:rFonts w:hint="eastAsia" w:ascii="宋体" w:hAnsi="宋体"/>
          <w:szCs w:val="21"/>
        </w:rPr>
        <w:t>（1）政府采购合同协议书及其变更、补充协议</w:t>
      </w:r>
    </w:p>
    <w:p w14:paraId="105A3D4D">
      <w:pPr>
        <w:adjustRightInd w:val="0"/>
        <w:snapToGrid w:val="0"/>
        <w:spacing w:line="400" w:lineRule="exact"/>
        <w:ind w:firstLine="420" w:firstLineChars="200"/>
        <w:rPr>
          <w:rFonts w:ascii="宋体" w:hAnsi="宋体"/>
          <w:szCs w:val="21"/>
        </w:rPr>
      </w:pPr>
      <w:r>
        <w:rPr>
          <w:rFonts w:hint="eastAsia" w:ascii="宋体" w:hAnsi="宋体"/>
          <w:szCs w:val="21"/>
        </w:rPr>
        <w:t>（2）政府采购合同专用条款</w:t>
      </w:r>
    </w:p>
    <w:p w14:paraId="70EE7BE0">
      <w:pPr>
        <w:adjustRightInd w:val="0"/>
        <w:snapToGrid w:val="0"/>
        <w:spacing w:line="400" w:lineRule="exact"/>
        <w:ind w:firstLine="420" w:firstLineChars="200"/>
        <w:rPr>
          <w:rFonts w:ascii="宋体" w:hAnsi="宋体"/>
          <w:szCs w:val="21"/>
        </w:rPr>
      </w:pPr>
      <w:r>
        <w:rPr>
          <w:rFonts w:hint="eastAsia" w:ascii="宋体" w:hAnsi="宋体"/>
          <w:szCs w:val="21"/>
        </w:rPr>
        <w:t>（3）政府采购合同通用条款</w:t>
      </w:r>
    </w:p>
    <w:p w14:paraId="08133677">
      <w:pPr>
        <w:adjustRightInd w:val="0"/>
        <w:snapToGrid w:val="0"/>
        <w:spacing w:line="400" w:lineRule="exact"/>
        <w:ind w:firstLine="420" w:firstLineChars="200"/>
        <w:rPr>
          <w:rFonts w:ascii="宋体" w:hAnsi="宋体"/>
          <w:szCs w:val="21"/>
        </w:rPr>
      </w:pPr>
      <w:r>
        <w:rPr>
          <w:rFonts w:hint="eastAsia" w:ascii="宋体" w:hAnsi="宋体"/>
          <w:szCs w:val="21"/>
        </w:rPr>
        <w:t>（4）中标（成交）通知书</w:t>
      </w:r>
    </w:p>
    <w:p w14:paraId="641D30E5">
      <w:pPr>
        <w:adjustRightInd w:val="0"/>
        <w:snapToGrid w:val="0"/>
        <w:spacing w:line="400" w:lineRule="exact"/>
        <w:ind w:firstLine="420" w:firstLineChars="200"/>
        <w:rPr>
          <w:rFonts w:ascii="宋体" w:hAnsi="宋体"/>
          <w:szCs w:val="21"/>
        </w:rPr>
      </w:pPr>
      <w:r>
        <w:rPr>
          <w:rFonts w:hint="eastAsia" w:ascii="宋体" w:hAnsi="宋体"/>
          <w:szCs w:val="21"/>
        </w:rPr>
        <w:t>（5）投标（响应）文件</w:t>
      </w:r>
    </w:p>
    <w:p w14:paraId="4EE9ADD6">
      <w:pPr>
        <w:adjustRightInd w:val="0"/>
        <w:snapToGrid w:val="0"/>
        <w:spacing w:line="400" w:lineRule="exact"/>
        <w:ind w:firstLine="420" w:firstLineChars="200"/>
        <w:rPr>
          <w:rFonts w:ascii="宋体" w:hAnsi="宋体"/>
          <w:szCs w:val="21"/>
        </w:rPr>
      </w:pPr>
      <w:r>
        <w:rPr>
          <w:rFonts w:hint="eastAsia" w:ascii="宋体" w:hAnsi="宋体"/>
          <w:szCs w:val="21"/>
        </w:rPr>
        <w:t>（6）采购文件</w:t>
      </w:r>
    </w:p>
    <w:p w14:paraId="75BED31D">
      <w:pPr>
        <w:adjustRightInd w:val="0"/>
        <w:snapToGrid w:val="0"/>
        <w:spacing w:line="400" w:lineRule="exact"/>
        <w:ind w:firstLine="420" w:firstLineChars="200"/>
        <w:rPr>
          <w:rFonts w:ascii="宋体" w:hAnsi="宋体"/>
          <w:szCs w:val="21"/>
        </w:rPr>
      </w:pPr>
      <w:r>
        <w:rPr>
          <w:rFonts w:hint="eastAsia" w:ascii="宋体" w:hAnsi="宋体"/>
          <w:szCs w:val="21"/>
        </w:rPr>
        <w:t>（7）有关技术文件，图纸</w:t>
      </w:r>
    </w:p>
    <w:p w14:paraId="34B600B6">
      <w:pPr>
        <w:pStyle w:val="102"/>
        <w:ind w:firstLine="420"/>
        <w:rPr>
          <w:rFonts w:ascii="宋体" w:hAnsi="宋体" w:eastAsia="宋体" w:cs="宋体"/>
          <w:kern w:val="2"/>
          <w:sz w:val="21"/>
        </w:rPr>
      </w:pPr>
      <w:r>
        <w:rPr>
          <w:rFonts w:hint="eastAsia" w:ascii="宋体" w:hAnsi="宋体" w:eastAsia="宋体" w:cs="宋体"/>
          <w:sz w:val="21"/>
        </w:rPr>
        <w:t>（8）</w:t>
      </w:r>
      <w:r>
        <w:rPr>
          <w:rFonts w:hint="eastAsia" w:ascii="宋体" w:hAnsi="宋体" w:eastAsia="宋体" w:cs="宋体"/>
          <w:color w:val="000000" w:themeColor="text1"/>
          <w:kern w:val="2"/>
          <w:sz w:val="21"/>
          <w14:textFill>
            <w14:solidFill>
              <w14:schemeClr w14:val="tx1"/>
            </w14:solidFill>
          </w14:textFill>
        </w:rPr>
        <w:t>国家法律、行政法规和规章制度规定或合同约定的作为合同组成部分的其他文件</w:t>
      </w:r>
    </w:p>
    <w:p w14:paraId="454625A7">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合同生效</w:t>
      </w:r>
    </w:p>
    <w:p w14:paraId="2F1F41D9">
      <w:pPr>
        <w:adjustRightInd w:val="0"/>
        <w:snapToGrid w:val="0"/>
        <w:spacing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5D2DF4ED">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合同份数</w:t>
      </w:r>
    </w:p>
    <w:p w14:paraId="471A12CC">
      <w:pPr>
        <w:adjustRightInd w:val="0"/>
        <w:snapToGrid w:val="0"/>
        <w:spacing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份，甲方执</w:t>
      </w:r>
      <w:r>
        <w:rPr>
          <w:rFonts w:hint="eastAsia" w:ascii="宋体" w:hAnsi="宋体"/>
          <w:szCs w:val="21"/>
          <w:u w:val="single"/>
        </w:rPr>
        <w:t xml:space="preserve">    </w:t>
      </w:r>
      <w:r>
        <w:rPr>
          <w:rFonts w:hint="eastAsia" w:ascii="宋体" w:hAnsi="宋体"/>
          <w:szCs w:val="21"/>
        </w:rPr>
        <w:t>份，乙方执</w:t>
      </w:r>
      <w:r>
        <w:rPr>
          <w:rFonts w:hint="eastAsia" w:ascii="宋体" w:hAnsi="宋体"/>
          <w:szCs w:val="21"/>
          <w:u w:val="single"/>
        </w:rPr>
        <w:t xml:space="preserve">    </w:t>
      </w:r>
      <w:r>
        <w:rPr>
          <w:rFonts w:hint="eastAsia" w:ascii="宋体" w:hAnsi="宋体"/>
          <w:szCs w:val="21"/>
        </w:rPr>
        <w:t>份，均具有同等法律效力。</w:t>
      </w:r>
    </w:p>
    <w:p w14:paraId="4E4FE8C3">
      <w:pPr>
        <w:adjustRightInd w:val="0"/>
        <w:snapToGrid w:val="0"/>
        <w:spacing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6AA153B5">
      <w:pPr>
        <w:adjustRightInd w:val="0"/>
        <w:snapToGrid w:val="0"/>
        <w:spacing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A1542E9">
      <w:pPr>
        <w:adjustRightInd w:val="0"/>
        <w:snapToGrid w:val="0"/>
        <w:spacing w:line="400" w:lineRule="exact"/>
        <w:ind w:firstLine="420" w:firstLineChars="200"/>
      </w:pPr>
      <w:r>
        <w:rPr>
          <w:rFonts w:hint="eastAsia" w:ascii="宋体" w:hAnsi="宋体"/>
          <w:szCs w:val="21"/>
        </w:rPr>
        <w:t>附件：具体标的及其技术要求和商务要求、联合协议、分包意向协议等。</w:t>
      </w:r>
    </w:p>
    <w:p w14:paraId="2CB4BDA9">
      <w:pPr>
        <w:pStyle w:val="103"/>
        <w:spacing w:line="400" w:lineRule="exact"/>
      </w:pPr>
    </w:p>
    <w:p w14:paraId="2CDCCE25">
      <w:pPr>
        <w:pStyle w:val="3"/>
        <w:spacing w:line="400" w:lineRule="exact"/>
        <w:rPr>
          <w:rFonts w:ascii="宋体" w:hAnsi="宋体"/>
          <w:b w:val="0"/>
          <w:bCs w:val="0"/>
          <w:sz w:val="21"/>
          <w:szCs w:val="21"/>
        </w:rPr>
      </w:pPr>
      <w:r>
        <w:rPr>
          <w:lang w:val="en"/>
        </w:rPr>
        <w:t xml:space="preserve">   </w:t>
      </w:r>
    </w:p>
    <w:p w14:paraId="2DDD1B70">
      <w:r>
        <w:rPr>
          <w:rFonts w:hint="eastAsia"/>
        </w:rPr>
        <w:br w:type="page"/>
      </w:r>
    </w:p>
    <w:p w14:paraId="167261CB">
      <w:pPr>
        <w:pStyle w:val="103"/>
      </w:pPr>
    </w:p>
    <w:tbl>
      <w:tblPr>
        <w:tblStyle w:val="41"/>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2085"/>
        <w:gridCol w:w="2661"/>
        <w:gridCol w:w="2183"/>
        <w:gridCol w:w="2335"/>
      </w:tblGrid>
      <w:tr w14:paraId="60C620A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3D1E74E0">
            <w:pPr>
              <w:adjustRightInd w:val="0"/>
              <w:snapToGrid w:val="0"/>
              <w:spacing w:line="300" w:lineRule="exact"/>
              <w:jc w:val="center"/>
            </w:pPr>
            <w:r>
              <w:rPr>
                <w:szCs w:val="21"/>
              </w:rPr>
              <w:t>甲方</w:t>
            </w:r>
            <w:r>
              <w:rPr>
                <w:rFonts w:hint="eastAsia"/>
                <w:szCs w:val="21"/>
              </w:rPr>
              <w:t>（采购人</w:t>
            </w:r>
            <w:r>
              <w:rPr>
                <w:rFonts w:hint="eastAsia" w:ascii="宋体" w:hAnsi="宋体"/>
                <w:szCs w:val="21"/>
              </w:rPr>
              <w:t>、受采购人委托签订合同的单位或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54767DD4">
            <w:pPr>
              <w:adjustRightInd w:val="0"/>
              <w:snapToGrid w:val="0"/>
              <w:spacing w:line="300" w:lineRule="exact"/>
              <w:jc w:val="center"/>
            </w:pPr>
            <w:r>
              <w:rPr>
                <w:szCs w:val="21"/>
              </w:rPr>
              <w:t>乙方</w:t>
            </w:r>
            <w:r>
              <w:rPr>
                <w:rFonts w:hint="eastAsia"/>
                <w:szCs w:val="21"/>
              </w:rPr>
              <w:t>（供应商）</w:t>
            </w:r>
          </w:p>
        </w:tc>
      </w:tr>
      <w:tr w14:paraId="708890E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2BDFA36D">
            <w:pPr>
              <w:adjustRightInd w:val="0"/>
              <w:snapToGrid w:val="0"/>
              <w:spacing w:line="300" w:lineRule="exact"/>
              <w:jc w:val="center"/>
              <w:rPr>
                <w:szCs w:val="21"/>
              </w:rPr>
            </w:pPr>
            <w:r>
              <w:rPr>
                <w:szCs w:val="21"/>
              </w:rPr>
              <w:t>单位名称</w:t>
            </w:r>
            <w:r>
              <w:rPr>
                <w:rFonts w:hint="eastAsia"/>
                <w:szCs w:val="21"/>
              </w:rPr>
              <w:t>（公章或合同章）</w:t>
            </w:r>
          </w:p>
        </w:tc>
        <w:tc>
          <w:tcPr>
            <w:tcW w:w="1436" w:type="pct"/>
            <w:tcBorders>
              <w:top w:val="single" w:color="auto" w:sz="2" w:space="0"/>
              <w:left w:val="single" w:color="auto" w:sz="2" w:space="0"/>
              <w:bottom w:val="single" w:color="auto" w:sz="2" w:space="0"/>
              <w:right w:val="single" w:color="auto" w:sz="2" w:space="0"/>
            </w:tcBorders>
            <w:vAlign w:val="center"/>
          </w:tcPr>
          <w:p w14:paraId="3D8D50A2">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15B2DFE">
            <w:pPr>
              <w:adjustRightInd w:val="0"/>
              <w:snapToGrid w:val="0"/>
              <w:spacing w:line="300" w:lineRule="exact"/>
              <w:jc w:val="center"/>
              <w:rPr>
                <w:szCs w:val="21"/>
              </w:rPr>
            </w:pPr>
            <w:r>
              <w:rPr>
                <w:szCs w:val="21"/>
              </w:rPr>
              <w:t>单位名称</w:t>
            </w:r>
            <w:r>
              <w:rPr>
                <w:rFonts w:hint="eastAsia"/>
                <w:szCs w:val="21"/>
              </w:rPr>
              <w:t>（公章或合同章）</w:t>
            </w:r>
          </w:p>
        </w:tc>
        <w:tc>
          <w:tcPr>
            <w:tcW w:w="1259" w:type="pct"/>
            <w:tcBorders>
              <w:top w:val="single" w:color="auto" w:sz="2" w:space="0"/>
              <w:left w:val="single" w:color="auto" w:sz="2" w:space="0"/>
              <w:bottom w:val="single" w:color="auto" w:sz="2" w:space="0"/>
            </w:tcBorders>
            <w:vAlign w:val="center"/>
          </w:tcPr>
          <w:p w14:paraId="52004CA1">
            <w:pPr>
              <w:adjustRightInd w:val="0"/>
              <w:snapToGrid w:val="0"/>
              <w:spacing w:line="300" w:lineRule="exact"/>
              <w:jc w:val="center"/>
              <w:rPr>
                <w:spacing w:val="20"/>
                <w:szCs w:val="21"/>
              </w:rPr>
            </w:pPr>
          </w:p>
        </w:tc>
      </w:tr>
      <w:tr w14:paraId="4DEC51A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422CEF80">
            <w:pPr>
              <w:adjustRightInd w:val="0"/>
              <w:snapToGrid w:val="0"/>
              <w:spacing w:line="300" w:lineRule="exact"/>
              <w:jc w:val="center"/>
              <w:rPr>
                <w:szCs w:val="21"/>
              </w:rPr>
            </w:pPr>
            <w:r>
              <w:rPr>
                <w:szCs w:val="21"/>
              </w:rPr>
              <w:t>法定代表人</w:t>
            </w:r>
          </w:p>
          <w:p w14:paraId="50ECD0D9">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2814FC62">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4823167D">
            <w:pPr>
              <w:adjustRightInd w:val="0"/>
              <w:snapToGrid w:val="0"/>
              <w:spacing w:line="300" w:lineRule="exact"/>
              <w:jc w:val="center"/>
              <w:rPr>
                <w:szCs w:val="21"/>
              </w:rPr>
            </w:pPr>
            <w:r>
              <w:rPr>
                <w:szCs w:val="21"/>
              </w:rPr>
              <w:t>法定代表人</w:t>
            </w:r>
          </w:p>
          <w:p w14:paraId="05229FEA">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1C5D9A11">
            <w:pPr>
              <w:adjustRightInd w:val="0"/>
              <w:snapToGrid w:val="0"/>
              <w:spacing w:line="300" w:lineRule="exact"/>
              <w:jc w:val="center"/>
              <w:rPr>
                <w:szCs w:val="21"/>
              </w:rPr>
            </w:pPr>
          </w:p>
        </w:tc>
      </w:tr>
      <w:tr w14:paraId="5E9029A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7E050E1D">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22FB734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3837272">
            <w:pPr>
              <w:adjustRightInd w:val="0"/>
              <w:snapToGrid w:val="0"/>
              <w:spacing w:line="300" w:lineRule="exact"/>
              <w:jc w:val="center"/>
              <w:rPr>
                <w:szCs w:val="21"/>
              </w:rPr>
            </w:pPr>
            <w:r>
              <w:rPr>
                <w:rFonts w:hint="eastAsia"/>
                <w:szCs w:val="21"/>
              </w:rPr>
              <w:t>拥有者性别</w:t>
            </w:r>
          </w:p>
        </w:tc>
        <w:tc>
          <w:tcPr>
            <w:tcW w:w="1259" w:type="pct"/>
            <w:tcBorders>
              <w:top w:val="single" w:color="auto" w:sz="2" w:space="0"/>
              <w:left w:val="single" w:color="auto" w:sz="2" w:space="0"/>
              <w:bottom w:val="single" w:color="auto" w:sz="2" w:space="0"/>
            </w:tcBorders>
            <w:vAlign w:val="center"/>
          </w:tcPr>
          <w:p w14:paraId="04CA439A">
            <w:pPr>
              <w:adjustRightInd w:val="0"/>
              <w:snapToGrid w:val="0"/>
              <w:spacing w:line="300" w:lineRule="exact"/>
              <w:jc w:val="center"/>
              <w:rPr>
                <w:spacing w:val="20"/>
                <w:szCs w:val="21"/>
              </w:rPr>
            </w:pPr>
          </w:p>
        </w:tc>
      </w:tr>
      <w:tr w14:paraId="4472A2F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B9B1382">
            <w:pPr>
              <w:adjustRightInd w:val="0"/>
              <w:snapToGrid w:val="0"/>
              <w:spacing w:line="300" w:lineRule="exact"/>
              <w:jc w:val="center"/>
              <w:rPr>
                <w:szCs w:val="21"/>
              </w:rPr>
            </w:pPr>
            <w:r>
              <w:rPr>
                <w:rFonts w:hint="eastAsia"/>
                <w:szCs w:val="21"/>
              </w:rPr>
              <w:t>住  所</w:t>
            </w:r>
          </w:p>
        </w:tc>
        <w:tc>
          <w:tcPr>
            <w:tcW w:w="1436" w:type="pct"/>
            <w:tcBorders>
              <w:top w:val="single" w:color="auto" w:sz="2" w:space="0"/>
              <w:left w:val="single" w:color="auto" w:sz="2" w:space="0"/>
              <w:bottom w:val="single" w:color="auto" w:sz="2" w:space="0"/>
              <w:right w:val="single" w:color="auto" w:sz="2" w:space="0"/>
            </w:tcBorders>
            <w:vAlign w:val="center"/>
          </w:tcPr>
          <w:p w14:paraId="67483745">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87D3220">
            <w:pPr>
              <w:adjustRightInd w:val="0"/>
              <w:snapToGrid w:val="0"/>
              <w:spacing w:line="300" w:lineRule="exact"/>
              <w:jc w:val="center"/>
              <w:rPr>
                <w:szCs w:val="21"/>
              </w:rPr>
            </w:pPr>
            <w:r>
              <w:rPr>
                <w:rFonts w:hint="eastAsia"/>
                <w:szCs w:val="21"/>
              </w:rPr>
              <w:t>住  所</w:t>
            </w:r>
          </w:p>
        </w:tc>
        <w:tc>
          <w:tcPr>
            <w:tcW w:w="1259" w:type="pct"/>
            <w:tcBorders>
              <w:top w:val="single" w:color="auto" w:sz="2" w:space="0"/>
              <w:left w:val="single" w:color="auto" w:sz="2" w:space="0"/>
              <w:bottom w:val="single" w:color="auto" w:sz="2" w:space="0"/>
            </w:tcBorders>
            <w:vAlign w:val="center"/>
          </w:tcPr>
          <w:p w14:paraId="55F8CA38">
            <w:pPr>
              <w:adjustRightInd w:val="0"/>
              <w:snapToGrid w:val="0"/>
              <w:spacing w:line="300" w:lineRule="exact"/>
              <w:jc w:val="center"/>
              <w:rPr>
                <w:spacing w:val="20"/>
                <w:szCs w:val="21"/>
              </w:rPr>
            </w:pPr>
          </w:p>
        </w:tc>
      </w:tr>
      <w:tr w14:paraId="0B6343F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CE257F5">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125552BC">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6E53AC2B">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1B00DE77">
            <w:pPr>
              <w:adjustRightInd w:val="0"/>
              <w:snapToGrid w:val="0"/>
              <w:spacing w:line="300" w:lineRule="exact"/>
              <w:jc w:val="center"/>
              <w:rPr>
                <w:spacing w:val="20"/>
                <w:szCs w:val="21"/>
              </w:rPr>
            </w:pPr>
          </w:p>
        </w:tc>
      </w:tr>
      <w:tr w14:paraId="3239C1E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A3402B2">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385852F0">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F7286CC">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57AA1022">
            <w:pPr>
              <w:adjustRightInd w:val="0"/>
              <w:snapToGrid w:val="0"/>
              <w:spacing w:line="300" w:lineRule="exact"/>
              <w:jc w:val="center"/>
              <w:rPr>
                <w:spacing w:val="20"/>
                <w:szCs w:val="21"/>
              </w:rPr>
            </w:pPr>
          </w:p>
        </w:tc>
      </w:tr>
      <w:tr w14:paraId="026C16A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6CD023FD">
            <w:pPr>
              <w:adjustRightInd w:val="0"/>
              <w:snapToGrid w:val="0"/>
              <w:spacing w:line="300" w:lineRule="exact"/>
              <w:jc w:val="center"/>
              <w:rPr>
                <w:szCs w:val="21"/>
              </w:rPr>
            </w:pPr>
            <w:r>
              <w:rPr>
                <w:rFonts w:hint="eastAsia"/>
                <w:szCs w:val="21"/>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08018AC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E360DD2">
            <w:pPr>
              <w:adjustRightInd w:val="0"/>
              <w:snapToGrid w:val="0"/>
              <w:spacing w:line="300" w:lineRule="exact"/>
              <w:jc w:val="center"/>
              <w:rPr>
                <w:szCs w:val="21"/>
              </w:rPr>
            </w:pPr>
            <w:r>
              <w:rPr>
                <w:rFonts w:hint="eastAsia"/>
                <w:szCs w:val="21"/>
              </w:rPr>
              <w:t>通信地址</w:t>
            </w:r>
          </w:p>
        </w:tc>
        <w:tc>
          <w:tcPr>
            <w:tcW w:w="1259" w:type="pct"/>
            <w:tcBorders>
              <w:top w:val="single" w:color="auto" w:sz="2" w:space="0"/>
              <w:left w:val="single" w:color="auto" w:sz="2" w:space="0"/>
              <w:bottom w:val="single" w:color="auto" w:sz="2" w:space="0"/>
            </w:tcBorders>
            <w:vAlign w:val="center"/>
          </w:tcPr>
          <w:p w14:paraId="3ABD1219">
            <w:pPr>
              <w:adjustRightInd w:val="0"/>
              <w:snapToGrid w:val="0"/>
              <w:spacing w:line="300" w:lineRule="exact"/>
              <w:jc w:val="center"/>
              <w:rPr>
                <w:spacing w:val="20"/>
                <w:szCs w:val="21"/>
              </w:rPr>
            </w:pPr>
          </w:p>
        </w:tc>
      </w:tr>
      <w:tr w14:paraId="7CAB480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7AD1E9F">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177C5E1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932FFF4">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5491E92D">
            <w:pPr>
              <w:adjustRightInd w:val="0"/>
              <w:snapToGrid w:val="0"/>
              <w:spacing w:line="300" w:lineRule="exact"/>
              <w:jc w:val="center"/>
              <w:rPr>
                <w:spacing w:val="20"/>
                <w:szCs w:val="21"/>
              </w:rPr>
            </w:pPr>
          </w:p>
        </w:tc>
      </w:tr>
      <w:tr w14:paraId="29E0F27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1F68962">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7A015CD3">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152FDE5">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07E2FBC2">
            <w:pPr>
              <w:adjustRightInd w:val="0"/>
              <w:snapToGrid w:val="0"/>
              <w:spacing w:line="300" w:lineRule="exact"/>
              <w:jc w:val="center"/>
              <w:rPr>
                <w:spacing w:val="20"/>
                <w:szCs w:val="21"/>
              </w:rPr>
            </w:pPr>
          </w:p>
        </w:tc>
      </w:tr>
      <w:tr w14:paraId="732B4AF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5C32A95">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1B455E10">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4F364DAD">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714EB2B9">
            <w:pPr>
              <w:adjustRightInd w:val="0"/>
              <w:snapToGrid w:val="0"/>
              <w:spacing w:line="300" w:lineRule="exact"/>
              <w:jc w:val="center"/>
              <w:rPr>
                <w:spacing w:val="20"/>
                <w:szCs w:val="21"/>
              </w:rPr>
            </w:pPr>
          </w:p>
        </w:tc>
      </w:tr>
      <w:tr w14:paraId="6B9A0D4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EE86F0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15F926E8">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2565C50">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16202E39">
            <w:pPr>
              <w:adjustRightInd w:val="0"/>
              <w:snapToGrid w:val="0"/>
              <w:spacing w:line="300" w:lineRule="exact"/>
              <w:jc w:val="center"/>
              <w:rPr>
                <w:spacing w:val="20"/>
                <w:szCs w:val="21"/>
              </w:rPr>
            </w:pPr>
          </w:p>
        </w:tc>
      </w:tr>
      <w:tr w14:paraId="3245667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FFC756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63318A39">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E908C50">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0A63D094">
            <w:pPr>
              <w:adjustRightInd w:val="0"/>
              <w:snapToGrid w:val="0"/>
              <w:spacing w:line="300" w:lineRule="exact"/>
              <w:jc w:val="center"/>
              <w:rPr>
                <w:spacing w:val="20"/>
                <w:szCs w:val="21"/>
              </w:rPr>
            </w:pPr>
          </w:p>
        </w:tc>
      </w:tr>
      <w:tr w14:paraId="636DB0F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2B783BD2">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E9BAC4C">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52DC49C">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77DC8F2D">
            <w:pPr>
              <w:adjustRightInd w:val="0"/>
              <w:snapToGrid w:val="0"/>
              <w:spacing w:line="300" w:lineRule="exact"/>
              <w:jc w:val="center"/>
              <w:rPr>
                <w:spacing w:val="20"/>
                <w:szCs w:val="21"/>
              </w:rPr>
            </w:pPr>
          </w:p>
        </w:tc>
      </w:tr>
      <w:tr w14:paraId="2A0C9E5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022A4102">
            <w:pPr>
              <w:pStyle w:val="17"/>
              <w:adjustRightInd w:val="0"/>
              <w:snapToGrid w:val="0"/>
              <w:spacing w:before="120" w:beforeLines="50" w:line="360" w:lineRule="auto"/>
              <w:jc w:val="left"/>
              <w:rPr>
                <w:spacing w:val="20"/>
                <w:szCs w:val="21"/>
              </w:rPr>
            </w:pPr>
            <w:r>
              <w:rPr>
                <w:rFonts w:hint="eastAsia" w:ascii="宋体" w:hAnsi="宋体"/>
                <w:szCs w:val="21"/>
              </w:rPr>
              <w:t>注：涉及联合体或其他合同主体的信息应按上表格式加列。</w:t>
            </w:r>
          </w:p>
        </w:tc>
      </w:tr>
    </w:tbl>
    <w:p w14:paraId="4122C3A0">
      <w:pPr>
        <w:pStyle w:val="3"/>
        <w:adjustRightInd w:val="0"/>
        <w:snapToGrid w:val="0"/>
        <w:spacing w:before="120" w:beforeLines="50"/>
        <w:jc w:val="center"/>
        <w:rPr>
          <w:rFonts w:ascii="黑体" w:hAnsi="黑体"/>
          <w:sz w:val="28"/>
          <w:szCs w:val="28"/>
        </w:rPr>
      </w:pPr>
      <w:r>
        <w:rPr>
          <w:rFonts w:ascii="宋体" w:hAnsi="宋体"/>
          <w:sz w:val="21"/>
          <w:szCs w:val="21"/>
          <w:u w:val="single"/>
        </w:rPr>
        <w:br w:type="page"/>
      </w:r>
      <w:bookmarkStart w:id="34" w:name="_Toc27624"/>
      <w:r>
        <w:rPr>
          <w:rFonts w:hint="eastAsia" w:ascii="黑体" w:hAnsi="黑体"/>
          <w:b w:val="0"/>
          <w:bCs w:val="0"/>
          <w:sz w:val="28"/>
          <w:szCs w:val="28"/>
        </w:rPr>
        <w:t>第二节 政府采购合同通用条款</w:t>
      </w:r>
      <w:bookmarkEnd w:id="34"/>
    </w:p>
    <w:p w14:paraId="6DB7AA10">
      <w:pPr>
        <w:tabs>
          <w:tab w:val="left" w:pos="8820"/>
          <w:tab w:val="left" w:pos="9345"/>
          <w:tab w:val="left" w:pos="9765"/>
        </w:tabs>
        <w:adjustRightInd w:val="0"/>
        <w:snapToGrid w:val="0"/>
        <w:spacing w:line="400" w:lineRule="exact"/>
        <w:jc w:val="left"/>
        <w:rPr>
          <w:rFonts w:ascii="宋体" w:hAnsi="宋体"/>
          <w:b/>
          <w:bCs/>
          <w:sz w:val="24"/>
        </w:rPr>
      </w:pPr>
      <w:r>
        <w:rPr>
          <w:rFonts w:hint="eastAsia" w:ascii="宋体" w:hAnsi="宋体"/>
          <w:b/>
          <w:sz w:val="24"/>
        </w:rPr>
        <w:t xml:space="preserve">1. </w:t>
      </w:r>
      <w:r>
        <w:rPr>
          <w:rFonts w:hint="eastAsia" w:ascii="宋体" w:hAnsi="宋体"/>
          <w:b/>
          <w:bCs/>
          <w:sz w:val="24"/>
        </w:rPr>
        <w:t>定义</w:t>
      </w:r>
    </w:p>
    <w:p w14:paraId="3A0418F4">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1.1合同当事人</w:t>
      </w:r>
    </w:p>
    <w:p w14:paraId="4A3E2D4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（1）采购人（以下称甲方）是指使用财政性资金，通过政府采购方式向供应商购买货物及其相关服务的国家机关、事业单位、团体组织。</w:t>
      </w:r>
    </w:p>
    <w:p w14:paraId="4E5B87B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（2）供应商（以下称乙方）是指参加政府采购活动并且中标（成交），向采购人提供合同约定的货物及其相关服务的法人、非法人组织或者自然人。</w:t>
      </w:r>
    </w:p>
    <w:p w14:paraId="2872FEB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（3）其他合同主体是指除采购人和供应商以外，</w:t>
      </w:r>
      <w:r>
        <w:rPr>
          <w:rFonts w:hint="eastAsia" w:ascii="宋体" w:hAnsi="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szCs w:val="21"/>
        </w:rPr>
        <w:t>。</w:t>
      </w:r>
    </w:p>
    <w:p w14:paraId="5EA21D33">
      <w:pPr>
        <w:tabs>
          <w:tab w:val="left" w:pos="570"/>
          <w:tab w:val="left" w:pos="9240"/>
          <w:tab w:val="left" w:pos="9555"/>
        </w:tabs>
        <w:adjustRightInd w:val="0"/>
        <w:snapToGrid w:val="0"/>
        <w:spacing w:line="400" w:lineRule="exact"/>
        <w:ind w:firstLine="420" w:firstLineChars="200"/>
        <w:jc w:val="left"/>
        <w:rPr>
          <w:rFonts w:ascii="宋体" w:hAnsi="宋体"/>
          <w:szCs w:val="21"/>
        </w:rPr>
      </w:pPr>
      <w:r>
        <w:rPr>
          <w:rFonts w:hint="eastAsia" w:ascii="宋体" w:hAnsi="宋体"/>
          <w:szCs w:val="21"/>
        </w:rPr>
        <w:t>1.2本合同下列术语应解释为：</w:t>
      </w:r>
    </w:p>
    <w:p w14:paraId="0C471741">
      <w:pPr>
        <w:adjustRightInd w:val="0"/>
        <w:snapToGrid w:val="0"/>
        <w:spacing w:line="400" w:lineRule="exact"/>
        <w:ind w:firstLine="420" w:firstLineChars="200"/>
        <w:jc w:val="left"/>
        <w:rPr>
          <w:rFonts w:ascii="宋体" w:hAnsi="宋体"/>
          <w:szCs w:val="21"/>
        </w:rPr>
      </w:pPr>
      <w:r>
        <w:rPr>
          <w:rFonts w:hint="eastAsia" w:ascii="宋体" w:hAnsi="宋体"/>
          <w:szCs w:val="21"/>
        </w:rPr>
        <w:t>（1）“合同”系指</w:t>
      </w:r>
      <w:r>
        <w:rPr>
          <w:rFonts w:hint="eastAsia" w:ascii="宋体" w:hAnsi="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szCs w:val="21"/>
        </w:rPr>
        <w:t>政府采购合同协议书及其变更、补充协议，政府采购合同专用条款，政府采购合同通用条款，中标（成交）通知书，投标（响应）文件，采购文件，有关技术文件和图纸，以及</w:t>
      </w:r>
      <w:r>
        <w:rPr>
          <w:rFonts w:hint="eastAsia" w:ascii="宋体" w:hAnsi="宋体" w:cs="宋体"/>
          <w:color w:val="000000" w:themeColor="text1"/>
          <w:szCs w:val="21"/>
          <w14:textFill>
            <w14:solidFill>
              <w14:schemeClr w14:val="tx1"/>
            </w14:solidFill>
          </w14:textFill>
        </w:rPr>
        <w:t>国家法律、行政法规和规章制度规定或合同约定的作为合同组成部分的其他文件</w:t>
      </w:r>
      <w:r>
        <w:rPr>
          <w:rFonts w:hint="eastAsia" w:ascii="宋体" w:hAnsi="宋体"/>
          <w:szCs w:val="21"/>
        </w:rPr>
        <w:t>。</w:t>
      </w:r>
    </w:p>
    <w:p w14:paraId="1E53D768">
      <w:pPr>
        <w:tabs>
          <w:tab w:val="left" w:pos="570"/>
          <w:tab w:val="left" w:pos="9240"/>
          <w:tab w:val="left" w:pos="9555"/>
        </w:tabs>
        <w:adjustRightInd w:val="0"/>
        <w:snapToGrid w:val="0"/>
        <w:spacing w:line="400" w:lineRule="exact"/>
        <w:ind w:firstLine="420" w:firstLineChars="200"/>
        <w:jc w:val="left"/>
        <w:rPr>
          <w:rFonts w:ascii="宋体" w:hAnsi="宋体"/>
          <w:szCs w:val="21"/>
        </w:rPr>
      </w:pPr>
      <w:r>
        <w:rPr>
          <w:rFonts w:hint="eastAsia" w:ascii="宋体" w:hAnsi="宋体"/>
          <w:szCs w:val="21"/>
        </w:rPr>
        <w:t>（2）“合同价款”系指根据本合同规定乙方在全面履行合同义务后甲方应支付给乙方的价款。</w:t>
      </w:r>
    </w:p>
    <w:p w14:paraId="117B6C81">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szCs w:val="21"/>
        </w:rPr>
        <w:t>（3）“货物”系指乙方根据本合同规定须向甲方提供的各种形态和种类的物品，包括原材料、设备、产品（</w:t>
      </w:r>
      <w:r>
        <w:rPr>
          <w:rFonts w:hint="eastAsia" w:ascii="宋体" w:hAnsi="宋体"/>
          <w:color w:val="000000" w:themeColor="text1"/>
          <w:szCs w:val="21"/>
          <w14:textFill>
            <w14:solidFill>
              <w14:schemeClr w14:val="tx1"/>
            </w14:solidFill>
          </w14:textFill>
        </w:rPr>
        <w:t>包括软件）及相关的其备品备件、工具、手册及</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技术资料和材料等。</w:t>
      </w:r>
    </w:p>
    <w:p w14:paraId="46FE3B6C">
      <w:pPr>
        <w:adjustRightInd w:val="0"/>
        <w:snapToGrid w:val="0"/>
        <w:spacing w:line="400" w:lineRule="exact"/>
        <w:ind w:firstLine="420" w:firstLineChars="200"/>
        <w:jc w:val="left"/>
        <w:rPr>
          <w:rFonts w:ascii="宋体" w:hAnsi="宋体"/>
          <w:color w:val="000000" w:themeColor="text1"/>
          <w:szCs w:val="21"/>
          <w:highlight w:val="yellow"/>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hint="eastAsia" w:ascii="宋体" w:hAnsi="宋体"/>
          <w:szCs w:val="21"/>
        </w:rPr>
        <w:t>相关</w:t>
      </w:r>
      <w:r>
        <w:rPr>
          <w:rFonts w:hint="eastAsia" w:ascii="宋体" w:hAnsi="宋体"/>
          <w:color w:val="000000" w:themeColor="text1"/>
          <w:szCs w:val="21"/>
          <w14:textFill>
            <w14:solidFill>
              <w14:schemeClr w14:val="tx1"/>
            </w14:solidFill>
          </w14:textFill>
        </w:rPr>
        <w:t>服务”系指根据合同规定，乙方应提供的与货物有关的技术、管理和</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服务，包括但不限于：管理和质量保证、运输、保险、检验、现场准备、安装、集成、调试、培训、维修、废弃处置、技术支持等以及合同中规定乙方应承担的</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义务。</w:t>
      </w:r>
    </w:p>
    <w:p w14:paraId="223A7EAB">
      <w:pPr>
        <w:adjustRightInd w:val="0"/>
        <w:snapToGrid w:val="0"/>
        <w:spacing w:line="400" w:lineRule="exact"/>
        <w:ind w:firstLine="420" w:firstLineChars="200"/>
        <w:jc w:val="left"/>
        <w:rPr>
          <w:rFonts w:ascii="宋体" w:hAnsi="宋体"/>
          <w:color w:val="000000" w:themeColor="text1"/>
          <w:szCs w:val="21"/>
          <w:highlight w:val="yellow"/>
          <w14:textFill>
            <w14:solidFill>
              <w14:schemeClr w14:val="tx1"/>
            </w14:solidFill>
          </w14:textFill>
        </w:rPr>
      </w:pPr>
      <w:r>
        <w:rPr>
          <w:rFonts w:hint="eastAsia" w:ascii="宋体" w:hAnsi="宋体"/>
          <w:color w:val="000000" w:themeColor="text1"/>
          <w:szCs w:val="21"/>
          <w14:textFill>
            <w14:solidFill>
              <w14:schemeClr w14:val="tx1"/>
            </w14:solidFill>
          </w14:textFill>
        </w:rPr>
        <w:t>（5）“分包”系指中标（成交）供应商按采购文件、投标（响应）文件的规定，根据分包意向协议，将中标（成交）项目中的部分履约内容，分给具有相应资质条件的供应商履行合同的行为。</w:t>
      </w:r>
    </w:p>
    <w:p w14:paraId="391A3732">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r>
        <w:rPr>
          <w:rFonts w:hint="eastAsia" w:ascii="宋体" w:hAnsi="宋体"/>
          <w:szCs w:val="21"/>
        </w:rPr>
        <w:t>“联合体”系指由两个以上的自然人、法人或者非法人组织组成，以一个供应商的身份共同参加政府采购的主体</w:t>
      </w:r>
      <w:r>
        <w:rPr>
          <w:rFonts w:hint="eastAsia" w:ascii="宋体" w:hAnsi="宋体"/>
          <w:color w:val="000000" w:themeColor="text1"/>
          <w:szCs w:val="21"/>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ascii="宋体" w:hAnsi="宋体"/>
          <w:b/>
          <w:bCs/>
          <w:color w:val="000000" w:themeColor="text1"/>
          <w:szCs w:val="21"/>
          <w14:textFill>
            <w14:solidFill>
              <w14:schemeClr w14:val="tx1"/>
            </w14:solidFill>
          </w14:textFill>
        </w:rPr>
        <w:t>政府采购合同专用条款</w:t>
      </w:r>
      <w:r>
        <w:rPr>
          <w:rFonts w:hint="eastAsia" w:ascii="宋体" w:hAnsi="宋体"/>
          <w:color w:val="000000" w:themeColor="text1"/>
          <w:szCs w:val="21"/>
          <w14:textFill>
            <w14:solidFill>
              <w14:schemeClr w14:val="tx1"/>
            </w14:solidFill>
          </w14:textFill>
        </w:rPr>
        <w:t>】。</w:t>
      </w:r>
    </w:p>
    <w:p w14:paraId="3DC4412C">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（7）其他术语解释，见【</w:t>
      </w:r>
      <w:r>
        <w:rPr>
          <w:rFonts w:hint="eastAsia" w:ascii="宋体" w:hAnsi="宋体"/>
          <w:b/>
          <w:bCs/>
          <w:color w:val="000000" w:themeColor="text1"/>
          <w:szCs w:val="21"/>
          <w14:textFill>
            <w14:solidFill>
              <w14:schemeClr w14:val="tx1"/>
            </w14:solidFill>
          </w14:textFill>
        </w:rPr>
        <w:t>政府采购合同专用条款</w:t>
      </w:r>
      <w:r>
        <w:rPr>
          <w:rFonts w:hint="eastAsia" w:ascii="宋体" w:hAnsi="宋体"/>
          <w:color w:val="000000" w:themeColor="text1"/>
          <w:szCs w:val="21"/>
          <w14:textFill>
            <w14:solidFill>
              <w14:schemeClr w14:val="tx1"/>
            </w14:solidFill>
          </w14:textFill>
        </w:rPr>
        <w:t>】。</w:t>
      </w:r>
    </w:p>
    <w:p w14:paraId="2D04FDD1">
      <w:pPr>
        <w:numPr>
          <w:ilvl w:val="0"/>
          <w:numId w:val="9"/>
        </w:num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合同标的及金额</w:t>
      </w:r>
    </w:p>
    <w:p w14:paraId="338A03AF">
      <w:pPr>
        <w:autoSpaceDE w:val="0"/>
        <w:autoSpaceDN w:val="0"/>
        <w:adjustRightInd w:val="0"/>
        <w:snapToGrid w:val="0"/>
        <w:spacing w:line="400" w:lineRule="exact"/>
        <w:ind w:firstLine="420" w:firstLineChars="200"/>
        <w:jc w:val="left"/>
        <w:rPr>
          <w:rFonts w:ascii="宋体" w:hAnsi="宋体"/>
          <w:b/>
          <w:bCs/>
          <w:i/>
          <w:i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 合同标的及金额应与中标（成交）结果一致。乙方为履行本合同而发生的所有费用均应包含在合同价款中，甲方不再另行支付</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任何费用。</w:t>
      </w:r>
    </w:p>
    <w:p w14:paraId="50BC125C">
      <w:pPr>
        <w:adjustRightInd w:val="0"/>
        <w:snapToGrid w:val="0"/>
        <w:spacing w:line="400" w:lineRule="exact"/>
        <w:jc w:val="lef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 履行合同的时间、地点和方式</w:t>
      </w:r>
    </w:p>
    <w:p w14:paraId="5A193FB1">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3.1 </w:t>
      </w:r>
      <w:r>
        <w:rPr>
          <w:rFonts w:hint="eastAsia" w:ascii="宋体" w:hAnsi="宋体" w:cs="宋体"/>
          <w:szCs w:val="21"/>
        </w:rPr>
        <w:t>乙方应当在约定的时间、地点，按照约定方式履行合同。</w:t>
      </w:r>
    </w:p>
    <w:p w14:paraId="15AD5533">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4. 甲方的权利和义务</w:t>
      </w:r>
    </w:p>
    <w:p w14:paraId="35AA4E9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4.1</w:t>
      </w:r>
      <w:r>
        <w:rPr>
          <w:rFonts w:ascii="宋体" w:hAnsi="宋体"/>
          <w:color w:val="000000" w:themeColor="text1"/>
          <w:szCs w:val="21"/>
          <w14:textFill>
            <w14:solidFill>
              <w14:schemeClr w14:val="tx1"/>
            </w14:solidFill>
          </w14:textFill>
        </w:rPr>
        <w:t xml:space="preserve"> 签署合同后，甲方</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确定</w:t>
      </w:r>
      <w:r>
        <w:rPr>
          <w:rFonts w:hint="eastAsia" w:ascii="宋体" w:hAnsi="宋体"/>
          <w:color w:val="000000" w:themeColor="text1"/>
          <w:szCs w:val="21"/>
          <w14:textFill>
            <w14:solidFill>
              <w14:schemeClr w14:val="tx1"/>
            </w14:solidFill>
          </w14:textFill>
        </w:rPr>
        <w:t>项目负责人（或项目联系人）</w:t>
      </w:r>
      <w:r>
        <w:rPr>
          <w:rFonts w:ascii="宋体" w:hAnsi="宋体"/>
          <w:color w:val="000000" w:themeColor="text1"/>
          <w:szCs w:val="21"/>
          <w14:textFill>
            <w14:solidFill>
              <w14:schemeClr w14:val="tx1"/>
            </w14:solidFill>
          </w14:textFill>
        </w:rPr>
        <w:t>，负责与本合同有关的事务。</w:t>
      </w:r>
      <w:r>
        <w:rPr>
          <w:rFonts w:hint="eastAsia" w:ascii="宋体" w:hAnsi="宋体"/>
          <w:color w:val="000000" w:themeColor="text1"/>
          <w:szCs w:val="21"/>
          <w14:textFill>
            <w14:solidFill>
              <w14:schemeClr w14:val="tx1"/>
            </w14:solidFill>
          </w14:textFill>
        </w:rPr>
        <w:t>甲方有权对乙方的履约行为进行检查，并</w:t>
      </w:r>
      <w:r>
        <w:rPr>
          <w:rFonts w:ascii="宋体" w:hAnsi="宋体"/>
          <w:color w:val="000000" w:themeColor="text1"/>
          <w:szCs w:val="21"/>
          <w14:textFill>
            <w14:solidFill>
              <w14:schemeClr w14:val="tx1"/>
            </w14:solidFill>
          </w14:textFill>
        </w:rPr>
        <w:t>及时确认乙方提交的事项</w:t>
      </w:r>
      <w:r>
        <w:rPr>
          <w:rFonts w:hint="eastAsia" w:ascii="宋体" w:hAnsi="宋体"/>
          <w:color w:val="000000" w:themeColor="text1"/>
          <w:szCs w:val="21"/>
          <w14:textFill>
            <w14:solidFill>
              <w14:schemeClr w14:val="tx1"/>
            </w14:solidFill>
          </w14:textFill>
        </w:rPr>
        <w:t>。甲方应当</w:t>
      </w:r>
      <w:r>
        <w:rPr>
          <w:rFonts w:ascii="宋体" w:hAnsi="宋体"/>
          <w:color w:val="000000" w:themeColor="text1"/>
          <w:szCs w:val="21"/>
          <w14:textFill>
            <w14:solidFill>
              <w14:schemeClr w14:val="tx1"/>
            </w14:solidFill>
          </w14:textFill>
        </w:rPr>
        <w:t>配合乙方完成</w:t>
      </w:r>
      <w:r>
        <w:rPr>
          <w:rFonts w:hint="eastAsia" w:ascii="宋体" w:hAnsi="宋体"/>
          <w:color w:val="000000" w:themeColor="text1"/>
          <w:szCs w:val="21"/>
          <w14:textFill>
            <w14:solidFill>
              <w14:schemeClr w14:val="tx1"/>
            </w14:solidFill>
          </w14:textFill>
        </w:rPr>
        <w:t>相关项目</w:t>
      </w:r>
      <w:r>
        <w:rPr>
          <w:rFonts w:ascii="宋体" w:hAnsi="宋体"/>
          <w:color w:val="000000" w:themeColor="text1"/>
          <w:szCs w:val="21"/>
          <w14:textFill>
            <w14:solidFill>
              <w14:schemeClr w14:val="tx1"/>
            </w14:solidFill>
          </w14:textFill>
        </w:rPr>
        <w:t>实施工作。</w:t>
      </w:r>
    </w:p>
    <w:p w14:paraId="619587CA">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4.2 </w:t>
      </w:r>
      <w:r>
        <w:rPr>
          <w:rFonts w:ascii="宋体" w:hAnsi="宋体"/>
          <w:color w:val="000000" w:themeColor="text1"/>
          <w:szCs w:val="21"/>
          <w14:textFill>
            <w14:solidFill>
              <w14:schemeClr w14:val="tx1"/>
            </w14:solidFill>
          </w14:textFill>
        </w:rPr>
        <w:t>甲方有权要求乙方按时提交各阶段有关</w:t>
      </w:r>
      <w:r>
        <w:rPr>
          <w:rFonts w:hint="eastAsia" w:ascii="宋体" w:hAnsi="宋体"/>
          <w:color w:val="000000" w:themeColor="text1"/>
          <w:szCs w:val="21"/>
          <w14:textFill>
            <w14:solidFill>
              <w14:schemeClr w14:val="tx1"/>
            </w14:solidFill>
          </w14:textFill>
        </w:rPr>
        <w:t>安排计划</w:t>
      </w:r>
      <w:r>
        <w:rPr>
          <w:rFonts w:ascii="宋体" w:hAnsi="宋体"/>
          <w:color w:val="000000" w:themeColor="text1"/>
          <w:szCs w:val="21"/>
          <w14:textFill>
            <w14:solidFill>
              <w14:schemeClr w14:val="tx1"/>
            </w14:solidFill>
          </w14:textFill>
        </w:rPr>
        <w:t>，并有权</w:t>
      </w:r>
      <w:r>
        <w:rPr>
          <w:rFonts w:hint="eastAsia" w:ascii="宋体" w:hAnsi="宋体"/>
          <w:color w:val="000000" w:themeColor="text1"/>
          <w:szCs w:val="21"/>
          <w14:textFill>
            <w14:solidFill>
              <w14:schemeClr w14:val="tx1"/>
            </w14:solidFill>
          </w14:textFill>
        </w:rPr>
        <w:t>定期核对乙方提供货物数量、规格、质量等内容。甲方</w:t>
      </w:r>
      <w:r>
        <w:rPr>
          <w:rFonts w:ascii="宋体" w:hAnsi="宋体"/>
          <w:color w:val="000000" w:themeColor="text1"/>
          <w:szCs w:val="21"/>
          <w14:textFill>
            <w14:solidFill>
              <w14:schemeClr w14:val="tx1"/>
            </w14:solidFill>
          </w14:textFill>
        </w:rPr>
        <w:t>有权督促乙方工作并要求乙方</w:t>
      </w:r>
      <w:r>
        <w:rPr>
          <w:rFonts w:hint="eastAsia" w:ascii="宋体" w:hAnsi="宋体"/>
          <w:color w:val="000000" w:themeColor="text1"/>
          <w:szCs w:val="21"/>
          <w14:textFill>
            <w14:solidFill>
              <w14:schemeClr w14:val="tx1"/>
            </w14:solidFill>
          </w14:textFill>
        </w:rPr>
        <w:t>更</w:t>
      </w:r>
      <w:r>
        <w:rPr>
          <w:rFonts w:ascii="宋体" w:hAnsi="宋体"/>
          <w:color w:val="000000" w:themeColor="text1"/>
          <w:szCs w:val="21"/>
          <w14:textFill>
            <w14:solidFill>
              <w14:schemeClr w14:val="tx1"/>
            </w14:solidFill>
          </w14:textFill>
        </w:rPr>
        <w:t>换不符合要求的</w:t>
      </w:r>
      <w:r>
        <w:rPr>
          <w:rFonts w:hint="eastAsia" w:ascii="宋体" w:hAnsi="宋体"/>
          <w:color w:val="000000" w:themeColor="text1"/>
          <w:szCs w:val="21"/>
          <w14:textFill>
            <w14:solidFill>
              <w14:schemeClr w14:val="tx1"/>
            </w14:solidFill>
          </w14:textFill>
        </w:rPr>
        <w:t>货物</w:t>
      </w:r>
      <w:r>
        <w:rPr>
          <w:rFonts w:ascii="宋体" w:hAnsi="宋体"/>
          <w:color w:val="000000" w:themeColor="text1"/>
          <w:szCs w:val="21"/>
          <w14:textFill>
            <w14:solidFill>
              <w14:schemeClr w14:val="tx1"/>
            </w14:solidFill>
          </w14:textFill>
        </w:rPr>
        <w:t>。</w:t>
      </w:r>
    </w:p>
    <w:p w14:paraId="40872C2C">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甲方</w:t>
      </w:r>
      <w:r>
        <w:rPr>
          <w:rFonts w:hint="eastAsia" w:ascii="宋体" w:hAnsi="宋体"/>
          <w:color w:val="000000" w:themeColor="text1"/>
          <w:szCs w:val="21"/>
          <w14:textFill>
            <w14:solidFill>
              <w14:schemeClr w14:val="tx1"/>
            </w14:solidFill>
          </w14:textFill>
        </w:rPr>
        <w:t>有权要求乙方对缺陷部分予以修复，并按合同约定享有货物保修及其他合同约定的权利。</w:t>
      </w:r>
    </w:p>
    <w:p w14:paraId="1CB65B05">
      <w:pPr>
        <w:snapToGrid w:val="0"/>
        <w:spacing w:line="400" w:lineRule="exact"/>
        <w:ind w:firstLine="420" w:firstLineChars="200"/>
        <w:rPr>
          <w:rFonts w:eastAsia="华文楷体"/>
        </w:rPr>
      </w:pPr>
      <w:r>
        <w:rPr>
          <w:rFonts w:ascii="宋体" w:hAnsi="宋体"/>
          <w:color w:val="000000" w:themeColor="text1"/>
          <w:szCs w:val="21"/>
          <w14:textFill>
            <w14:solidFill>
              <w14:schemeClr w14:val="tx1"/>
            </w14:solidFill>
          </w14:textFill>
        </w:rPr>
        <w:t>4.4 甲方应当按照合同约定及时对交付的货物进行验收</w:t>
      </w:r>
      <w:r>
        <w:rPr>
          <w:rFonts w:hint="eastAsia" w:ascii="宋体" w:hAnsi="宋体"/>
          <w:color w:val="000000" w:themeColor="text1"/>
          <w:szCs w:val="21"/>
          <w14:textFill>
            <w14:solidFill>
              <w14:schemeClr w14:val="tx1"/>
            </w14:solidFill>
          </w14:textFill>
        </w:rPr>
        <w:t>，</w:t>
      </w:r>
      <w:r>
        <w:rPr>
          <w:rFonts w:hint="eastAsia" w:ascii="宋体" w:hAnsi="宋体" w:cs="宋体"/>
          <w:szCs w:val="21"/>
        </w:rPr>
        <w:t>未</w:t>
      </w:r>
      <w:r>
        <w:rPr>
          <w:rFonts w:hint="eastAsia" w:ascii="宋体" w:hAnsi="宋体"/>
          <w:color w:val="000000" w:themeColor="text1"/>
          <w:szCs w:val="21"/>
          <w14:textFill>
            <w14:solidFill>
              <w14:schemeClr w14:val="tx1"/>
            </w14:solidFill>
          </w14:textFill>
        </w:rPr>
        <w:t>在</w:t>
      </w:r>
      <w:r>
        <w:rPr>
          <w:rFonts w:hint="eastAsia" w:ascii="宋体" w:hAnsi="宋体" w:cs="宋体"/>
          <w:b/>
          <w:bCs/>
          <w:szCs w:val="21"/>
        </w:rPr>
        <w:t>【政府采购合同专用条款】</w:t>
      </w:r>
      <w:r>
        <w:rPr>
          <w:rFonts w:hint="eastAsia" w:ascii="宋体" w:hAnsi="宋体" w:cs="宋体"/>
          <w:szCs w:val="21"/>
        </w:rPr>
        <w:t>约定的期限内对乙方履约提出任何异议或者向乙方作出任何说明的，</w:t>
      </w:r>
      <w:r>
        <w:rPr>
          <w:rFonts w:hint="eastAsia" w:ascii="宋体" w:hAnsi="宋体"/>
          <w:color w:val="000000" w:themeColor="text1"/>
          <w:szCs w:val="21"/>
          <w14:textFill>
            <w14:solidFill>
              <w14:schemeClr w14:val="tx1"/>
            </w14:solidFill>
          </w14:textFill>
        </w:rPr>
        <w:t>视为验收通过。</w:t>
      </w:r>
    </w:p>
    <w:p w14:paraId="1ACE89CA">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5 </w:t>
      </w:r>
      <w:r>
        <w:rPr>
          <w:rFonts w:hint="eastAsia" w:ascii="宋体" w:hAnsi="宋体"/>
          <w:color w:val="000000" w:themeColor="text1"/>
          <w:szCs w:val="21"/>
          <w14:textFill>
            <w14:solidFill>
              <w14:schemeClr w14:val="tx1"/>
            </w14:solidFill>
          </w14:textFill>
        </w:rPr>
        <w:t>甲方应当根据合同约定及时向乙方支付合同价款</w:t>
      </w:r>
      <w:r>
        <w:rPr>
          <w:rFonts w:ascii="宋体" w:hAnsi="宋体"/>
          <w:color w:val="000000" w:themeColor="text1"/>
          <w:szCs w:val="21"/>
          <w14:textFill>
            <w14:solidFill>
              <w14:schemeClr w14:val="tx1"/>
            </w14:solidFill>
          </w14:textFill>
        </w:rPr>
        <w:t>，不得以内部人员变更、履行内部付款流程等为由，拒绝或迟延支付。</w:t>
      </w:r>
    </w:p>
    <w:p w14:paraId="0088BBFD">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4.6</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国家法律法规规定及</w:t>
      </w:r>
      <w:r>
        <w:rPr>
          <w:rFonts w:hint="eastAsia" w:ascii="宋体" w:hAnsi="宋体" w:cs="宋体"/>
          <w:b/>
          <w:bCs/>
          <w:szCs w:val="21"/>
        </w:rPr>
        <w:t>【政府采购合同专用条款】</w:t>
      </w:r>
      <w:r>
        <w:rPr>
          <w:rFonts w:hint="eastAsia" w:ascii="宋体" w:hAnsi="宋体"/>
          <w:color w:val="000000" w:themeColor="text1"/>
          <w:szCs w:val="21"/>
          <w14:textFill>
            <w14:solidFill>
              <w14:schemeClr w14:val="tx1"/>
            </w14:solidFill>
          </w14:textFill>
        </w:rPr>
        <w:t>约定应由甲方承担的其他义务和责任。</w:t>
      </w:r>
    </w:p>
    <w:p w14:paraId="18A095D4">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5. 乙方的权利和义务</w:t>
      </w:r>
    </w:p>
    <w:p w14:paraId="63A0B357">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5.1 </w:t>
      </w:r>
      <w:r>
        <w:rPr>
          <w:rFonts w:ascii="宋体" w:hAnsi="宋体"/>
          <w:color w:val="000000" w:themeColor="text1"/>
          <w:szCs w:val="21"/>
          <w14:textFill>
            <w14:solidFill>
              <w14:schemeClr w14:val="tx1"/>
            </w14:solidFill>
          </w14:textFill>
        </w:rPr>
        <w:t>签署合同后，乙方</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确定</w:t>
      </w:r>
      <w:r>
        <w:rPr>
          <w:rFonts w:hint="eastAsia" w:ascii="宋体" w:hAnsi="宋体"/>
          <w:color w:val="000000" w:themeColor="text1"/>
          <w:szCs w:val="21"/>
          <w14:textFill>
            <w14:solidFill>
              <w14:schemeClr w14:val="tx1"/>
            </w14:solidFill>
          </w14:textFill>
        </w:rPr>
        <w:t>项目负责人（或项目联系人）</w:t>
      </w:r>
      <w:r>
        <w:rPr>
          <w:rFonts w:ascii="宋体" w:hAnsi="宋体"/>
          <w:color w:val="000000" w:themeColor="text1"/>
          <w:szCs w:val="21"/>
          <w14:textFill>
            <w14:solidFill>
              <w14:schemeClr w14:val="tx1"/>
            </w14:solidFill>
          </w14:textFill>
        </w:rPr>
        <w:t>，负责与本合同有关的事务。</w:t>
      </w:r>
    </w:p>
    <w:p w14:paraId="270D075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2 乙方应按照合同要求</w:t>
      </w:r>
      <w:r>
        <w:rPr>
          <w:rFonts w:hint="eastAsia" w:ascii="宋体" w:hAnsi="宋体"/>
          <w:color w:val="000000" w:themeColor="text1"/>
          <w:szCs w:val="21"/>
          <w14:textFill>
            <w14:solidFill>
              <w14:schemeClr w14:val="tx1"/>
            </w14:solidFill>
          </w14:textFill>
        </w:rPr>
        <w:t>履约</w:t>
      </w:r>
      <w:r>
        <w:rPr>
          <w:rFonts w:ascii="宋体" w:hAnsi="宋体"/>
          <w:color w:val="000000" w:themeColor="text1"/>
          <w:szCs w:val="21"/>
          <w14:textFill>
            <w14:solidFill>
              <w14:schemeClr w14:val="tx1"/>
            </w14:solidFill>
          </w14:textFill>
        </w:rPr>
        <w:t>，充分合理安排，确保</w:t>
      </w:r>
      <w:r>
        <w:rPr>
          <w:rFonts w:hint="eastAsia" w:ascii="宋体" w:hAnsi="宋体"/>
          <w:color w:val="000000" w:themeColor="text1"/>
          <w:szCs w:val="21"/>
          <w14:textFill>
            <w14:solidFill>
              <w14:schemeClr w14:val="tx1"/>
            </w14:solidFill>
          </w14:textFill>
        </w:rPr>
        <w:t>提供的货物及相关服务符合合同有关</w:t>
      </w:r>
      <w:r>
        <w:rPr>
          <w:rFonts w:ascii="宋体" w:hAnsi="宋体"/>
          <w:color w:val="000000" w:themeColor="text1"/>
          <w:szCs w:val="21"/>
          <w14:textFill>
            <w14:solidFill>
              <w14:schemeClr w14:val="tx1"/>
            </w14:solidFill>
          </w14:textFill>
        </w:rPr>
        <w:t>要求</w:t>
      </w:r>
      <w:r>
        <w:rPr>
          <w:rFonts w:hint="eastAsia" w:ascii="宋体" w:hAnsi="宋体"/>
          <w:color w:val="000000" w:themeColor="text1"/>
          <w:szCs w:val="21"/>
          <w14:textFill>
            <w14:solidFill>
              <w14:schemeClr w14:val="tx1"/>
            </w14:solidFill>
          </w14:textFill>
        </w:rPr>
        <w:t>。接受项目行业管理部门及政府有关部门的指导，配合甲方的履约检查及验收，并</w:t>
      </w:r>
      <w:r>
        <w:rPr>
          <w:rFonts w:ascii="宋体" w:hAnsi="宋体"/>
          <w:color w:val="000000" w:themeColor="text1"/>
          <w:szCs w:val="21"/>
          <w14:textFill>
            <w14:solidFill>
              <w14:schemeClr w14:val="tx1"/>
            </w14:solidFill>
          </w14:textFill>
        </w:rPr>
        <w:t>负责项目实施过程中的所有协调工作。</w:t>
      </w:r>
    </w:p>
    <w:p w14:paraId="39DF0745">
      <w:pPr>
        <w:pStyle w:val="16"/>
        <w:spacing w:line="400" w:lineRule="exact"/>
        <w:ind w:firstLine="424" w:firstLineChars="176"/>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乙方有权</w:t>
      </w:r>
      <w:r>
        <w:rPr>
          <w:rFonts w:hint="eastAsia" w:ascii="宋体" w:hAnsi="宋体" w:cs="宋体"/>
          <w:color w:val="000000" w:themeColor="text1"/>
          <w:szCs w:val="21"/>
          <w14:textFill>
            <w14:solidFill>
              <w14:schemeClr w14:val="tx1"/>
            </w14:solidFill>
          </w14:textFill>
        </w:rPr>
        <w:t>根据合同约定向甲方收取合同价款。</w:t>
      </w:r>
    </w:p>
    <w:p w14:paraId="3C26AF2B">
      <w:pPr>
        <w:pStyle w:val="16"/>
        <w:spacing w:line="400" w:lineRule="exact"/>
        <w:ind w:firstLine="424" w:firstLineChars="176"/>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国家法律法规规定</w:t>
      </w:r>
      <w:r>
        <w:rPr>
          <w:rFonts w:hint="eastAsia" w:ascii="宋体" w:hAnsi="宋体"/>
          <w:color w:val="000000" w:themeColor="text1"/>
          <w:szCs w:val="21"/>
          <w14:textFill>
            <w14:solidFill>
              <w14:schemeClr w14:val="tx1"/>
            </w14:solidFill>
          </w14:textFill>
        </w:rPr>
        <w:t>及</w:t>
      </w:r>
      <w:r>
        <w:rPr>
          <w:rFonts w:hint="eastAsia" w:ascii="宋体" w:hAnsi="宋体" w:cs="宋体"/>
          <w:szCs w:val="21"/>
        </w:rPr>
        <w:t>【政府采购合同专用条款】</w:t>
      </w:r>
      <w:r>
        <w:rPr>
          <w:rFonts w:hint="eastAsia" w:ascii="宋体" w:hAnsi="宋体" w:cs="宋体"/>
          <w:b w:val="0"/>
          <w:bCs w:val="0"/>
          <w:szCs w:val="21"/>
        </w:rPr>
        <w:t>约定应</w:t>
      </w:r>
      <w:r>
        <w:rPr>
          <w:rFonts w:hint="eastAsia" w:ascii="宋体" w:hAnsi="宋体" w:cs="宋体"/>
          <w:color w:val="000000" w:themeColor="text1"/>
          <w:szCs w:val="21"/>
          <w14:textFill>
            <w14:solidFill>
              <w14:schemeClr w14:val="tx1"/>
            </w14:solidFill>
          </w14:textFill>
        </w:rPr>
        <w:t>由乙方承担的其他义务和责任。</w:t>
      </w:r>
    </w:p>
    <w:p w14:paraId="331ADAF1">
      <w:pPr>
        <w:numPr>
          <w:ilvl w:val="0"/>
          <w:numId w:val="10"/>
        </w:num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合同履行</w:t>
      </w:r>
    </w:p>
    <w:p w14:paraId="284E0C9E">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6.1 甲乙双方应当按照</w:t>
      </w:r>
      <w:r>
        <w:rPr>
          <w:rFonts w:hint="eastAsia" w:ascii="宋体" w:hAnsi="宋体" w:cs="宋体"/>
          <w:b/>
          <w:bCs/>
          <w:szCs w:val="21"/>
        </w:rPr>
        <w:t>【政府采购合同专用条款】</w:t>
      </w:r>
      <w:r>
        <w:rPr>
          <w:rFonts w:hint="eastAsia" w:ascii="宋体" w:hAnsi="宋体"/>
          <w:color w:val="000000" w:themeColor="text1"/>
          <w:szCs w:val="21"/>
          <w14:textFill>
            <w14:solidFill>
              <w14:schemeClr w14:val="tx1"/>
            </w14:solidFill>
          </w14:textFill>
        </w:rPr>
        <w:t>约定顺序履行合同义务；如果没有先后顺序的，应当同时履行。</w:t>
      </w:r>
    </w:p>
    <w:p w14:paraId="5546E4A9">
      <w:pPr>
        <w:autoSpaceDE w:val="0"/>
        <w:autoSpaceDN w:val="0"/>
        <w:adjustRightInd w:val="0"/>
        <w:snapToGrid w:val="0"/>
        <w:spacing w:line="400" w:lineRule="exact"/>
        <w:ind w:firstLine="420" w:firstLineChars="200"/>
        <w:jc w:val="left"/>
      </w:pPr>
      <w:r>
        <w:rPr>
          <w:rFonts w:hint="eastAsia" w:ascii="宋体" w:hAnsi="宋体"/>
          <w:color w:val="000000" w:themeColor="text1"/>
          <w:szCs w:val="21"/>
          <w14:textFill>
            <w14:solidFill>
              <w14:schemeClr w14:val="tx1"/>
            </w14:solidFill>
          </w14:textFill>
        </w:rPr>
        <w:t>6.2 甲乙双方按照合同约定顺序履行合同义务时，应当先履行一方未履行的，后履行一方有权拒绝其履行请求。先履行一方履行不符合约定的，后履行一方有权拒绝其相应的履行请求。</w:t>
      </w:r>
    </w:p>
    <w:p w14:paraId="1BBF0A61">
      <w:pPr>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7. 货物包装、运输、保险和交付要求</w:t>
      </w:r>
    </w:p>
    <w:p w14:paraId="0AFDDCB2">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7.1 本合同</w:t>
      </w:r>
      <w:r>
        <w:rPr>
          <w:rFonts w:hint="eastAsia" w:ascii="宋体" w:hAnsi="宋体"/>
          <w:bCs/>
          <w:color w:val="000000" w:themeColor="text1"/>
          <w:szCs w:val="21"/>
          <w14:textFill>
            <w14:solidFill>
              <w14:schemeClr w14:val="tx1"/>
            </w14:solidFill>
          </w14:textFill>
        </w:rPr>
        <w:t>涉及商品包装、快递包装的，</w:t>
      </w:r>
      <w:r>
        <w:rPr>
          <w:rFonts w:hint="eastAsia" w:ascii="宋体" w:hAnsi="宋体"/>
          <w:color w:val="000000" w:themeColor="text1"/>
          <w:szCs w:val="21"/>
          <w14:textFill>
            <w14:solidFill>
              <w14:schemeClr w14:val="tx1"/>
            </w14:solidFill>
          </w14:textFill>
        </w:rPr>
        <w:t>除</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另有约定外，</w:t>
      </w:r>
      <w:r>
        <w:rPr>
          <w:rFonts w:hint="eastAsia" w:ascii="宋体" w:hAnsi="宋体"/>
          <w:color w:val="000000" w:themeColor="text1"/>
          <w:szCs w:val="21"/>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约定的</w:t>
      </w:r>
      <w:r>
        <w:rPr>
          <w:rFonts w:hint="eastAsia" w:ascii="宋体" w:hAnsi="宋体"/>
          <w:color w:val="000000" w:themeColor="text1"/>
          <w:szCs w:val="21"/>
          <w14:textFill>
            <w14:solidFill>
              <w14:schemeClr w14:val="tx1"/>
            </w14:solidFill>
          </w14:textFill>
        </w:rPr>
        <w:t>指定现场。</w:t>
      </w:r>
    </w:p>
    <w:p w14:paraId="480847A5">
      <w:pPr>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7.2 除</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另有约定外，</w:t>
      </w:r>
      <w:r>
        <w:rPr>
          <w:rFonts w:hint="eastAsia" w:ascii="宋体" w:hAnsi="宋体"/>
          <w:color w:val="000000" w:themeColor="text1"/>
          <w:szCs w:val="21"/>
          <w14:textFill>
            <w14:solidFill>
              <w14:schemeClr w14:val="tx1"/>
            </w14:solidFill>
          </w14:textFill>
        </w:rPr>
        <w:t>乙方负责办理将货物运抵本合同规定的交货地点，并装卸、交付至甲方的一切运输事项，相关费用应包含在合同价款中。</w:t>
      </w:r>
    </w:p>
    <w:p w14:paraId="00B15A84">
      <w:pPr>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7.3 货物保险要求按</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规定执行</w:t>
      </w:r>
      <w:r>
        <w:rPr>
          <w:rFonts w:hint="eastAsia" w:ascii="宋体" w:hAnsi="宋体"/>
          <w:color w:val="000000" w:themeColor="text1"/>
          <w:szCs w:val="21"/>
          <w14:textFill>
            <w14:solidFill>
              <w14:schemeClr w14:val="tx1"/>
            </w14:solidFill>
          </w14:textFill>
        </w:rPr>
        <w:t>。</w:t>
      </w:r>
    </w:p>
    <w:p w14:paraId="2EEA17B3">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659C0C23">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7.5 </w:t>
      </w:r>
      <w:r>
        <w:rPr>
          <w:rFonts w:hint="eastAsia" w:ascii="宋体" w:hAnsi="宋体" w:cs="宋体"/>
          <w:color w:val="000000"/>
          <w:szCs w:val="21"/>
        </w:rPr>
        <w:t>乙方在运输到达之前应提前通知甲方，并提示货物运输装卸的注意事项，甲方配合乙方做好货物的接收工作。</w:t>
      </w:r>
    </w:p>
    <w:p w14:paraId="2E8A8574">
      <w:pPr>
        <w:pStyle w:val="102"/>
        <w:ind w:firstLine="420"/>
        <w:rPr>
          <w:sz w:val="21"/>
        </w:rPr>
      </w:pPr>
      <w:r>
        <w:rPr>
          <w:rFonts w:hint="eastAsia" w:ascii="宋体" w:hAnsi="宋体" w:eastAsia="宋体" w:cs="Times New Roman"/>
          <w:color w:val="000000" w:themeColor="text1"/>
          <w:kern w:val="2"/>
          <w:sz w:val="21"/>
          <w14:textFill>
            <w14:solidFill>
              <w14:schemeClr w14:val="tx1"/>
            </w14:solidFill>
          </w14:textFill>
        </w:rPr>
        <w:t xml:space="preserve">7.6 </w:t>
      </w:r>
      <w:r>
        <w:rPr>
          <w:rFonts w:hint="eastAsia" w:ascii="宋体" w:hAnsi="宋体" w:eastAsia="宋体" w:cs="Times New Roman"/>
          <w:color w:val="000000"/>
          <w:kern w:val="2"/>
          <w:sz w:val="21"/>
        </w:rPr>
        <w:t>如因包装、运输问题导致货物</w:t>
      </w:r>
      <w:r>
        <w:rPr>
          <w:rFonts w:hint="eastAsia" w:ascii="宋体" w:hAnsi="宋体" w:eastAsia="宋体" w:cs="Times New Roman"/>
          <w:color w:val="000000" w:themeColor="text1"/>
          <w:kern w:val="2"/>
          <w:sz w:val="21"/>
          <w14:textFill>
            <w14:solidFill>
              <w14:schemeClr w14:val="tx1"/>
            </w14:solidFill>
          </w14:textFill>
        </w:rPr>
        <w:t>损毁、丢失</w:t>
      </w:r>
      <w:r>
        <w:rPr>
          <w:rFonts w:hint="eastAsia" w:ascii="宋体" w:hAnsi="宋体" w:eastAsia="宋体" w:cs="Times New Roman"/>
          <w:color w:val="000000"/>
          <w:kern w:val="2"/>
          <w:sz w:val="21"/>
        </w:rPr>
        <w:t>或者品质下降，甲方有权要求降价、换货、拒收部分或整批货物，由此产生的费用和损失，均由乙方承担。</w:t>
      </w:r>
    </w:p>
    <w:p w14:paraId="132E7023">
      <w:pPr>
        <w:adjustRightInd w:val="0"/>
        <w:snapToGrid w:val="0"/>
        <w:spacing w:line="400" w:lineRule="exact"/>
        <w:jc w:val="left"/>
        <w:rPr>
          <w:rFonts w:ascii="宋体" w:hAnsi="宋体"/>
          <w:b/>
          <w:sz w:val="24"/>
        </w:rPr>
      </w:pPr>
      <w:r>
        <w:rPr>
          <w:rFonts w:hint="eastAsia" w:ascii="宋体" w:hAnsi="宋体"/>
          <w:b/>
          <w:color w:val="000000" w:themeColor="text1"/>
          <w:sz w:val="24"/>
          <w14:textFill>
            <w14:solidFill>
              <w14:schemeClr w14:val="tx1"/>
            </w14:solidFill>
          </w14:textFill>
        </w:rPr>
        <w:t xml:space="preserve">8. </w:t>
      </w:r>
      <w:r>
        <w:rPr>
          <w:rFonts w:hint="eastAsia" w:ascii="宋体" w:hAnsi="宋体"/>
          <w:b/>
          <w:sz w:val="24"/>
        </w:rPr>
        <w:t>质量标准和保证</w:t>
      </w:r>
    </w:p>
    <w:p w14:paraId="77909CA5">
      <w:pPr>
        <w:pStyle w:val="21"/>
        <w:adjustRightInd w:val="0"/>
        <w:snapToGrid w:val="0"/>
        <w:spacing w:line="400" w:lineRule="exact"/>
        <w:ind w:firstLine="420" w:firstLineChars="200"/>
        <w:jc w:val="left"/>
        <w:rPr>
          <w:rFonts w:hint="default" w:hAnsi="宋体"/>
          <w:b/>
        </w:rPr>
      </w:pPr>
      <w:r>
        <w:rPr>
          <w:rFonts w:hAnsi="宋体"/>
        </w:rPr>
        <w:t>8.1 质量标准</w:t>
      </w:r>
    </w:p>
    <w:p w14:paraId="01D64D0C">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（1）本合同下提供的货物应符合合同</w:t>
      </w:r>
      <w:r>
        <w:rPr>
          <w:rFonts w:hint="eastAsia" w:ascii="宋体" w:hAnsi="宋体" w:cs="宋体"/>
          <w:color w:val="000000"/>
          <w:szCs w:val="21"/>
        </w:rPr>
        <w:t>约定的</w:t>
      </w:r>
      <w:r>
        <w:rPr>
          <w:rFonts w:hint="eastAsia" w:ascii="宋体" w:hAnsi="宋体" w:cs="宋体"/>
          <w:szCs w:val="21"/>
        </w:rPr>
        <w:t>品牌、规格型号、技术性能、配置、质量、数量等要求。</w:t>
      </w:r>
      <w:r>
        <w:rPr>
          <w:rFonts w:hint="eastAsia" w:ascii="宋体" w:hAnsi="宋体"/>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15567671">
      <w:pPr>
        <w:pStyle w:val="21"/>
        <w:adjustRightInd w:val="0"/>
        <w:snapToGrid w:val="0"/>
        <w:spacing w:line="400" w:lineRule="exact"/>
        <w:ind w:firstLine="420" w:firstLineChars="200"/>
        <w:jc w:val="left"/>
        <w:rPr>
          <w:rFonts w:hint="default" w:hAnsi="宋体"/>
        </w:rPr>
      </w:pPr>
      <w:r>
        <w:rPr>
          <w:rFonts w:hAnsi="宋体"/>
        </w:rPr>
        <w:t>（2）采用中华人民共和国法定计量单位。</w:t>
      </w:r>
    </w:p>
    <w:p w14:paraId="310A7F8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（3）乙方所提供的货物应符合国家有关安全、环保、卫生的规定。</w:t>
      </w:r>
    </w:p>
    <w:p w14:paraId="7ACC456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（4）乙方应向甲方提交所提供货物的技术文件，包括相应的中文技术文件，如：产品目录、图纸、操作手册、使用说明、维护手册或服务指南等。上述文件应包装好随货物一同发运。</w:t>
      </w:r>
    </w:p>
    <w:p w14:paraId="098F3998">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8.2 保证</w:t>
      </w:r>
    </w:p>
    <w:p w14:paraId="56A1201C">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（1）乙方应保证提供的货物完全符合合同规定的质量、规格和性能要求。乙方应保证货物在正确安装、正常使用和保养条件下，</w:t>
      </w:r>
      <w:r>
        <w:rPr>
          <w:rFonts w:hint="eastAsia" w:ascii="宋体" w:hAnsi="宋体" w:cs="宋体"/>
          <w:szCs w:val="21"/>
        </w:rPr>
        <w:t>在其使用寿命期内具备合同约定的性能</w:t>
      </w:r>
      <w:r>
        <w:rPr>
          <w:rFonts w:hint="eastAsia" w:ascii="宋体" w:hAnsi="宋体"/>
          <w:szCs w:val="21"/>
        </w:rPr>
        <w:t>。存在质量保证期的，货物最终交付验收合格后在</w:t>
      </w:r>
      <w:r>
        <w:rPr>
          <w:rFonts w:hint="eastAsia" w:ascii="宋体" w:hAnsi="宋体"/>
          <w:b/>
          <w:szCs w:val="21"/>
        </w:rPr>
        <w:t>【政府采购合同专用条款】</w:t>
      </w:r>
      <w:r>
        <w:rPr>
          <w:rFonts w:hint="eastAsia" w:ascii="宋体" w:hAnsi="宋体"/>
          <w:szCs w:val="21"/>
        </w:rPr>
        <w:t>规定或乙方书面承诺（两者以较长的为准）的质量保证期内，本保证保持有效。</w:t>
      </w:r>
    </w:p>
    <w:p w14:paraId="7E59AC3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（2）在质量保证期内所发现的缺陷，甲方应尽快以书面形式通知乙方。</w:t>
      </w:r>
    </w:p>
    <w:p w14:paraId="5131605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（3）乙方收到通知后，应在</w:t>
      </w:r>
      <w:r>
        <w:rPr>
          <w:rFonts w:hint="eastAsia" w:ascii="宋体" w:hAnsi="宋体"/>
          <w:b/>
          <w:szCs w:val="21"/>
        </w:rPr>
        <w:t>【政府采购合同专用条款】</w:t>
      </w:r>
      <w:r>
        <w:rPr>
          <w:rFonts w:hint="eastAsia" w:ascii="宋体" w:hAnsi="宋体"/>
          <w:szCs w:val="21"/>
        </w:rPr>
        <w:t>规定的响应时间内以合理的速度免费维修或更换有缺陷的货物或部件。</w:t>
      </w:r>
    </w:p>
    <w:p w14:paraId="6E4B0FF9">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14:textFill>
            <w14:solidFill>
              <w14:schemeClr w14:val="tx1"/>
            </w14:solidFill>
          </w14:textFill>
        </w:rPr>
        <w:t>5</w:t>
      </w:r>
      <w:r>
        <w:rPr>
          <w:rFonts w:hint="eastAsia" w:ascii="宋体" w:hAnsi="宋体"/>
          <w:szCs w:val="21"/>
        </w:rPr>
        <w:t>.1条规定以书面形式</w:t>
      </w:r>
      <w:r>
        <w:rPr>
          <w:rFonts w:hint="eastAsia" w:ascii="宋体" w:hAnsi="宋体"/>
          <w:color w:val="000000" w:themeColor="text1"/>
          <w:szCs w:val="21"/>
          <w14:textFill>
            <w14:solidFill>
              <w14:schemeClr w14:val="tx1"/>
            </w14:solidFill>
          </w14:textFill>
        </w:rPr>
        <w:t>追究</w:t>
      </w:r>
      <w:r>
        <w:rPr>
          <w:rFonts w:hint="eastAsia" w:ascii="宋体" w:hAnsi="宋体"/>
          <w:szCs w:val="21"/>
        </w:rPr>
        <w:t>乙方</w:t>
      </w:r>
      <w:r>
        <w:rPr>
          <w:rFonts w:hint="eastAsia" w:ascii="宋体" w:hAnsi="宋体"/>
          <w:color w:val="000000" w:themeColor="text1"/>
          <w:szCs w:val="21"/>
          <w14:textFill>
            <w14:solidFill>
              <w14:schemeClr w14:val="tx1"/>
            </w14:solidFill>
          </w14:textFill>
        </w:rPr>
        <w:t>的违约责任</w:t>
      </w:r>
      <w:r>
        <w:rPr>
          <w:rFonts w:hint="eastAsia" w:ascii="宋体" w:hAnsi="宋体"/>
          <w:szCs w:val="21"/>
        </w:rPr>
        <w:t>。</w:t>
      </w:r>
    </w:p>
    <w:p w14:paraId="50B0C023">
      <w:pPr>
        <w:adjustRightInd w:val="0"/>
        <w:snapToGrid w:val="0"/>
        <w:spacing w:line="400" w:lineRule="exact"/>
        <w:ind w:firstLine="420" w:firstLineChars="200"/>
        <w:jc w:val="left"/>
      </w:pPr>
      <w:r>
        <w:rPr>
          <w:rFonts w:hint="eastAsia" w:ascii="宋体" w:hAnsi="宋体"/>
          <w:szCs w:val="21"/>
        </w:rPr>
        <w:t>（5）乙方在约定的时间内未能弥补缺陷，甲方可采取必要的补救措施，但其风险和费用将由乙方承担，甲方根据合同约定对乙方行使的其他权利不受影响。</w:t>
      </w:r>
    </w:p>
    <w:p w14:paraId="27C7E226">
      <w:pPr>
        <w:adjustRightInd w:val="0"/>
        <w:snapToGrid w:val="0"/>
        <w:spacing w:line="400" w:lineRule="exact"/>
        <w:jc w:val="left"/>
        <w:rPr>
          <w:rFonts w:ascii="宋体" w:hAnsi="宋体"/>
          <w:b/>
          <w:bCs/>
          <w:sz w:val="24"/>
        </w:rPr>
      </w:pPr>
      <w:r>
        <w:rPr>
          <w:rFonts w:hint="eastAsia" w:ascii="宋体" w:hAnsi="宋体"/>
          <w:b/>
          <w:bCs/>
          <w:color w:val="000000" w:themeColor="text1"/>
          <w:sz w:val="24"/>
          <w14:textFill>
            <w14:solidFill>
              <w14:schemeClr w14:val="tx1"/>
            </w14:solidFill>
          </w14:textFill>
        </w:rPr>
        <w:t>9</w:t>
      </w:r>
      <w:r>
        <w:rPr>
          <w:rFonts w:hint="eastAsia" w:ascii="宋体" w:hAnsi="宋体"/>
          <w:b/>
          <w:bCs/>
          <w:sz w:val="24"/>
        </w:rPr>
        <w:t>.</w:t>
      </w:r>
      <w:r>
        <w:rPr>
          <w:rFonts w:hint="eastAsia" w:ascii="宋体" w:hAnsi="宋体"/>
          <w:b/>
          <w:bCs/>
          <w:color w:val="000000" w:themeColor="text1"/>
          <w:sz w:val="24"/>
          <w14:textFill>
            <w14:solidFill>
              <w14:schemeClr w14:val="tx1"/>
            </w14:solidFill>
          </w14:textFill>
        </w:rPr>
        <w:t xml:space="preserve"> </w:t>
      </w:r>
      <w:r>
        <w:rPr>
          <w:rFonts w:hint="eastAsia" w:ascii="宋体" w:hAnsi="宋体"/>
          <w:b/>
          <w:bCs/>
          <w:sz w:val="24"/>
        </w:rPr>
        <w:t>权利瑕疵担保</w:t>
      </w:r>
    </w:p>
    <w:p w14:paraId="3A3B80B4">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9.1 乙方保证对其出售的货物享有合法的权利。</w:t>
      </w:r>
    </w:p>
    <w:p w14:paraId="17C55C60">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9.2 </w:t>
      </w:r>
      <w:r>
        <w:rPr>
          <w:rFonts w:hint="eastAsia" w:ascii="宋体" w:hAnsi="宋体" w:cs="宋体"/>
          <w:szCs w:val="15"/>
        </w:rPr>
        <w:t>乙方保证在交付的货物上不存在抵押权等担保物权。</w:t>
      </w:r>
    </w:p>
    <w:p w14:paraId="0975805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9.3 如甲方使用上述货物构成对第三人侵权的，则由乙方承担全部责任。</w:t>
      </w:r>
    </w:p>
    <w:p w14:paraId="7BC8EBDB">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10. 知识产权保护</w:t>
      </w:r>
    </w:p>
    <w:p w14:paraId="660D2C7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color w:val="000000" w:themeColor="text1"/>
          <w:szCs w:val="21"/>
          <w14:textFill>
            <w14:solidFill>
              <w14:schemeClr w14:val="tx1"/>
            </w14:solidFill>
          </w14:textFill>
        </w:rPr>
        <w:t>10.1 乙方对其所销售的货物应当享有知识产权或经权利人合法授权，保证没有侵犯任</w:t>
      </w:r>
      <w:r>
        <w:rPr>
          <w:rFonts w:hint="eastAsia" w:ascii="宋体" w:hAnsi="宋体"/>
          <w:szCs w:val="21"/>
        </w:rPr>
        <w:t>何第三人的知识产权等权利。</w:t>
      </w:r>
      <w:bookmarkStart w:id="35" w:name="_Hlk163047038"/>
      <w:r>
        <w:rPr>
          <w:rFonts w:hint="eastAsia" w:ascii="宋体" w:hAnsi="宋体" w:cs="宋体"/>
          <w:szCs w:val="15"/>
        </w:rPr>
        <w:t>因违反前述约定对第三人构成侵权的，应当由乙方向第三人承担法律责任；甲方依法向第三人赔偿后，有权向乙方追偿。甲方有其他损失的，乙方应当赔偿</w:t>
      </w:r>
      <w:bookmarkEnd w:id="35"/>
      <w:r>
        <w:rPr>
          <w:rFonts w:hint="eastAsia" w:ascii="宋体" w:hAnsi="宋体"/>
          <w:szCs w:val="21"/>
        </w:rPr>
        <w:t>。</w:t>
      </w:r>
    </w:p>
    <w:p w14:paraId="2270A209">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11. 保密义务</w:t>
      </w:r>
    </w:p>
    <w:p w14:paraId="5604F8F4">
      <w:pPr>
        <w:autoSpaceDE w:val="0"/>
        <w:autoSpaceDN w:val="0"/>
        <w:adjustRightInd w:val="0"/>
        <w:snapToGrid w:val="0"/>
        <w:spacing w:line="400" w:lineRule="exact"/>
        <w:ind w:firstLine="420" w:firstLineChars="200"/>
        <w:jc w:val="left"/>
        <w:rPr>
          <w:rFonts w:ascii="宋体" w:hAnsi="宋体" w:cs="宋体"/>
          <w:szCs w:val="15"/>
        </w:rPr>
      </w:pPr>
      <w:r>
        <w:rPr>
          <w:rFonts w:hint="eastAsia" w:ascii="宋体" w:hAnsi="宋体" w:cs="宋体"/>
          <w:szCs w:val="15"/>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hint="eastAsia" w:ascii="宋体" w:hAnsi="宋体" w:cs="宋体"/>
          <w:b/>
          <w:bCs/>
          <w:szCs w:val="15"/>
        </w:rPr>
        <w:t>【政府采购合同专用条款】</w:t>
      </w:r>
      <w:r>
        <w:rPr>
          <w:rFonts w:hint="eastAsia" w:ascii="宋体" w:hAnsi="宋体" w:cs="宋体"/>
          <w:szCs w:val="15"/>
        </w:rPr>
        <w:t>中约定。</w:t>
      </w:r>
    </w:p>
    <w:p w14:paraId="17CF7FA3">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12. 合同价款支付</w:t>
      </w:r>
    </w:p>
    <w:p w14:paraId="0E603F46">
      <w:pPr>
        <w:adjustRightInd w:val="0"/>
        <w:snapToGrid w:val="0"/>
        <w:spacing w:line="400" w:lineRule="exact"/>
        <w:ind w:firstLine="420" w:firstLineChars="200"/>
        <w:jc w:val="left"/>
        <w:rPr>
          <w:rFonts w:ascii="宋体" w:hAnsi="宋体"/>
          <w:szCs w:val="21"/>
        </w:rPr>
      </w:pPr>
      <w:r>
        <w:rPr>
          <w:rFonts w:hint="eastAsia" w:ascii="宋体" w:hAnsi="宋体"/>
          <w:szCs w:val="21"/>
        </w:rPr>
        <w:t>12.1 合同价款支付按照国库集中支付制度及财政管理相关规定执行。</w:t>
      </w:r>
    </w:p>
    <w:p w14:paraId="1D68169B">
      <w:pPr>
        <w:pStyle w:val="3"/>
        <w:spacing w:line="400" w:lineRule="exact"/>
        <w:ind w:firstLine="420" w:firstLineChars="200"/>
      </w:pPr>
      <w:r>
        <w:rPr>
          <w:rFonts w:hint="eastAsia" w:ascii="宋体" w:hAnsi="宋体"/>
          <w:b w:val="0"/>
          <w:bCs w:val="0"/>
          <w:sz w:val="21"/>
          <w:szCs w:val="21"/>
        </w:rPr>
        <w:t xml:space="preserve">12.2 </w:t>
      </w:r>
      <w:r>
        <w:rPr>
          <w:rFonts w:hint="eastAsia" w:ascii="宋体" w:hAnsi="宋体" w:eastAsia="宋体"/>
          <w:b w:val="0"/>
          <w:bCs w:val="0"/>
          <w:sz w:val="21"/>
          <w:szCs w:val="21"/>
        </w:rPr>
        <w:t>对于满足合同约定支付条件的，甲方原则上应当自收到发票后10个工作日内将资金支付到合同约定的</w:t>
      </w:r>
      <w:r>
        <w:rPr>
          <w:rFonts w:hint="eastAsia" w:ascii="宋体" w:hAnsi="宋体"/>
          <w:b w:val="0"/>
          <w:bCs w:val="0"/>
          <w:sz w:val="21"/>
          <w:szCs w:val="21"/>
        </w:rPr>
        <w:t>乙方</w:t>
      </w:r>
      <w:r>
        <w:rPr>
          <w:rFonts w:hint="eastAsia" w:ascii="宋体" w:hAnsi="宋体" w:eastAsia="宋体"/>
          <w:b w:val="0"/>
          <w:bCs w:val="0"/>
          <w:sz w:val="21"/>
          <w:szCs w:val="21"/>
        </w:rPr>
        <w:t>账户，不得以机构变动、人员更替、政策调整等为由迟延付款，不得将采购文件和合同中未规定的义务作为向乙方付款的条件。具体合同价款支付时间在【</w:t>
      </w:r>
      <w:r>
        <w:rPr>
          <w:rFonts w:hint="eastAsia" w:ascii="宋体" w:hAnsi="宋体" w:eastAsia="宋体"/>
          <w:sz w:val="21"/>
          <w:szCs w:val="21"/>
        </w:rPr>
        <w:t>政府采购合同专用条款</w:t>
      </w:r>
      <w:r>
        <w:rPr>
          <w:rFonts w:hint="eastAsia" w:ascii="宋体" w:hAnsi="宋体" w:eastAsia="宋体"/>
          <w:b w:val="0"/>
          <w:bCs w:val="0"/>
          <w:sz w:val="21"/>
          <w:szCs w:val="21"/>
        </w:rPr>
        <w:t>】中</w:t>
      </w:r>
      <w:r>
        <w:rPr>
          <w:rFonts w:hint="eastAsia" w:ascii="宋体" w:hAnsi="宋体"/>
          <w:b w:val="0"/>
          <w:bCs w:val="0"/>
          <w:sz w:val="21"/>
          <w:szCs w:val="21"/>
        </w:rPr>
        <w:t>约</w:t>
      </w:r>
      <w:r>
        <w:rPr>
          <w:rFonts w:hint="eastAsia" w:ascii="宋体" w:hAnsi="宋体" w:eastAsia="宋体"/>
          <w:b w:val="0"/>
          <w:bCs w:val="0"/>
          <w:sz w:val="21"/>
          <w:szCs w:val="21"/>
        </w:rPr>
        <w:t>定。</w:t>
      </w:r>
    </w:p>
    <w:p w14:paraId="3D37F84C">
      <w:pPr>
        <w:pStyle w:val="16"/>
        <w:spacing w:line="400" w:lineRule="exact"/>
        <w:rPr>
          <w:rFonts w:ascii="宋体" w:hAnsi="宋体"/>
          <w:b w:val="0"/>
          <w:bCs w:val="0"/>
          <w:szCs w:val="24"/>
        </w:rPr>
      </w:pPr>
      <w:r>
        <w:rPr>
          <w:rFonts w:hint="eastAsia" w:ascii="宋体" w:hAnsi="宋体"/>
          <w:szCs w:val="24"/>
        </w:rPr>
        <w:t>13. 履约保证金</w:t>
      </w:r>
    </w:p>
    <w:p w14:paraId="273D5A19">
      <w:pPr>
        <w:adjustRightInd w:val="0"/>
        <w:snapToGrid w:val="0"/>
        <w:spacing w:line="400" w:lineRule="exact"/>
        <w:ind w:firstLine="420" w:firstLineChars="200"/>
        <w:jc w:val="left"/>
        <w:rPr>
          <w:rFonts w:ascii="宋体" w:hAnsi="宋体"/>
          <w:szCs w:val="21"/>
        </w:rPr>
      </w:pPr>
      <w:r>
        <w:rPr>
          <w:rFonts w:hint="eastAsia" w:ascii="宋体" w:hAnsi="宋体"/>
          <w:szCs w:val="21"/>
        </w:rPr>
        <w:t xml:space="preserve">13.1 </w:t>
      </w:r>
      <w:r>
        <w:rPr>
          <w:rFonts w:hint="eastAsia" w:ascii="宋体" w:hAnsi="宋体" w:cs="宋体"/>
          <w:szCs w:val="15"/>
        </w:rPr>
        <w:t>乙方应当以支票、汇票、本票或者金融机构、担保机构出具的保函等非现金形式提交。</w:t>
      </w:r>
    </w:p>
    <w:p w14:paraId="77B6266E">
      <w:pPr>
        <w:adjustRightInd w:val="0"/>
        <w:snapToGrid w:val="0"/>
        <w:spacing w:line="400" w:lineRule="exact"/>
        <w:ind w:firstLine="420" w:firstLineChars="200"/>
        <w:jc w:val="left"/>
        <w:rPr>
          <w:rFonts w:ascii="宋体" w:hAnsi="宋体"/>
          <w:szCs w:val="21"/>
        </w:rPr>
      </w:pPr>
      <w:r>
        <w:rPr>
          <w:rFonts w:hint="eastAsia" w:ascii="宋体" w:hAnsi="宋体"/>
          <w:szCs w:val="21"/>
        </w:rPr>
        <w:t>13.2 如果乙方出现</w:t>
      </w:r>
      <w:r>
        <w:rPr>
          <w:rFonts w:hint="eastAsia" w:ascii="宋体" w:hAnsi="宋体" w:cs="宋体"/>
          <w:b/>
          <w:bCs/>
          <w:szCs w:val="15"/>
        </w:rPr>
        <w:t>【政府采购合同专用条款】</w:t>
      </w:r>
      <w:r>
        <w:rPr>
          <w:rFonts w:hint="eastAsia" w:ascii="宋体" w:hAnsi="宋体" w:cs="宋体"/>
          <w:szCs w:val="15"/>
        </w:rPr>
        <w:t>约定情形的</w:t>
      </w:r>
      <w:r>
        <w:rPr>
          <w:rFonts w:hint="eastAsia" w:ascii="宋体" w:hAnsi="宋体"/>
          <w:szCs w:val="21"/>
        </w:rPr>
        <w:t>，履约保证金不予退还；如果乙方未能按合同约定全面履行义务，甲方有权从履约保证金中取得补偿或赔偿，且不影响甲方要求乙方承担合同约定的超过履约保证金的违约责任的权利。</w:t>
      </w:r>
    </w:p>
    <w:p w14:paraId="21ED3064">
      <w:pPr>
        <w:spacing w:line="400" w:lineRule="exact"/>
        <w:ind w:firstLine="420"/>
      </w:pPr>
      <w:r>
        <w:rPr>
          <w:rFonts w:hint="eastAsia" w:ascii="宋体" w:hAnsi="宋体"/>
          <w:szCs w:val="21"/>
        </w:rPr>
        <w:t>13.3 甲方在项目通过验收后按照</w:t>
      </w:r>
      <w:r>
        <w:rPr>
          <w:rFonts w:hint="eastAsia" w:ascii="宋体" w:hAnsi="宋体"/>
          <w:b/>
          <w:szCs w:val="21"/>
        </w:rPr>
        <w:t>【政府采购合同专用条款】</w:t>
      </w:r>
      <w:r>
        <w:rPr>
          <w:rFonts w:hint="eastAsia" w:ascii="宋体" w:hAnsi="宋体"/>
          <w:szCs w:val="21"/>
        </w:rPr>
        <w:t>规定的时间内将履约保证金退还乙方；逾期退还的，乙方可要求甲方支付违约金，违约金按照</w:t>
      </w:r>
      <w:r>
        <w:rPr>
          <w:rFonts w:hint="eastAsia" w:ascii="宋体" w:hAnsi="宋体"/>
          <w:b/>
          <w:szCs w:val="21"/>
        </w:rPr>
        <w:t>【政府采购合同专用条款】</w:t>
      </w:r>
      <w:r>
        <w:rPr>
          <w:rFonts w:hint="eastAsia" w:ascii="宋体" w:hAnsi="宋体"/>
          <w:szCs w:val="21"/>
        </w:rPr>
        <w:t>规定支付。</w:t>
      </w:r>
    </w:p>
    <w:p w14:paraId="23662B7F">
      <w:pPr>
        <w:autoSpaceDE w:val="0"/>
        <w:autoSpaceDN w:val="0"/>
        <w:adjustRightInd w:val="0"/>
        <w:snapToGrid w:val="0"/>
        <w:spacing w:line="400" w:lineRule="exact"/>
        <w:jc w:val="left"/>
        <w:rPr>
          <w:rFonts w:ascii="宋体" w:hAnsi="宋体"/>
          <w:b/>
          <w:sz w:val="24"/>
        </w:rPr>
      </w:pPr>
      <w:r>
        <w:rPr>
          <w:rFonts w:hint="eastAsia" w:ascii="宋体" w:hAnsi="宋体"/>
          <w:b/>
          <w:bCs/>
          <w:sz w:val="24"/>
        </w:rPr>
        <w:t xml:space="preserve">14. </w:t>
      </w:r>
      <w:r>
        <w:rPr>
          <w:rFonts w:hint="eastAsia"/>
          <w:b/>
          <w:sz w:val="24"/>
        </w:rPr>
        <w:t>售后</w:t>
      </w:r>
      <w:r>
        <w:rPr>
          <w:rFonts w:hint="eastAsia" w:ascii="宋体" w:hAnsi="宋体"/>
          <w:b/>
          <w:sz w:val="24"/>
        </w:rPr>
        <w:t>服务</w:t>
      </w:r>
    </w:p>
    <w:p w14:paraId="219F5F56">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14.1 除项目不涉及或采购活动中明确约定无须承担外，乙方还应提供下列服务：</w:t>
      </w:r>
    </w:p>
    <w:p w14:paraId="7A19228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（1）货物的现场移动、安装、调试、启动监督及技术支持；</w:t>
      </w:r>
    </w:p>
    <w:p w14:paraId="314FAA42">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（2）提供货物组装和维修所需的专用工具和辅助材料；</w:t>
      </w:r>
    </w:p>
    <w:p w14:paraId="5843657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（3）在</w:t>
      </w:r>
      <w:r>
        <w:rPr>
          <w:rFonts w:hint="eastAsia" w:ascii="宋体" w:hAnsi="宋体" w:cs="宋体"/>
          <w:b/>
          <w:bCs/>
          <w:szCs w:val="15"/>
        </w:rPr>
        <w:t>【政府采购合同专用条款】</w:t>
      </w:r>
      <w:r>
        <w:rPr>
          <w:rFonts w:hint="eastAsia" w:ascii="宋体" w:hAnsi="宋体"/>
          <w:szCs w:val="21"/>
        </w:rPr>
        <w:t>约定的期限内对所有的货物实施运行监督、维修，但前提条件是该服务并不能免除乙方在质量保证期内所承担的义务；</w:t>
      </w:r>
    </w:p>
    <w:p w14:paraId="2C97741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（4）在制造商所在地或指定现场就货物的安装、启动、运营、维护、废弃处置等对甲方操作人员进行培训</w:t>
      </w:r>
      <w:r>
        <w:rPr>
          <w:rFonts w:hint="eastAsia" w:ascii="宋体" w:hAnsi="宋体" w:cs="宋体"/>
          <w:szCs w:val="15"/>
        </w:rPr>
        <w:t>；</w:t>
      </w:r>
    </w:p>
    <w:p w14:paraId="494E9B75">
      <w:pPr>
        <w:pStyle w:val="102"/>
        <w:ind w:firstLine="420"/>
        <w:rPr>
          <w:rFonts w:ascii="宋体" w:hAnsi="宋体" w:eastAsia="宋体" w:cs="宋体"/>
          <w:sz w:val="21"/>
        </w:rPr>
      </w:pPr>
      <w:r>
        <w:rPr>
          <w:rFonts w:hint="eastAsia" w:ascii="宋体" w:hAnsi="宋体" w:eastAsia="宋体" w:cs="宋体"/>
          <w:sz w:val="21"/>
        </w:rPr>
        <w:t>（5）依照法律、行政法规的规定或者按照</w:t>
      </w:r>
      <w:r>
        <w:rPr>
          <w:rFonts w:hint="eastAsia" w:ascii="宋体" w:hAnsi="宋体" w:eastAsia="宋体" w:cs="宋体"/>
          <w:b/>
          <w:bCs/>
          <w:sz w:val="21"/>
        </w:rPr>
        <w:t>【政府采购合同专用条款】</w:t>
      </w:r>
      <w:r>
        <w:rPr>
          <w:rFonts w:hint="eastAsia" w:ascii="宋体" w:hAnsi="宋体" w:eastAsia="宋体" w:cs="宋体"/>
          <w:sz w:val="21"/>
        </w:rPr>
        <w:t>约定，货物在有效使用年限届满后应予回收的，乙方负有自行或者委托第三人对货物予以回收的义务；</w:t>
      </w:r>
    </w:p>
    <w:p w14:paraId="67AEBB4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（6）</w:t>
      </w:r>
      <w:r>
        <w:rPr>
          <w:rFonts w:hint="eastAsia" w:ascii="宋体" w:hAnsi="宋体"/>
          <w:b/>
          <w:szCs w:val="21"/>
        </w:rPr>
        <w:t>【政府采购合同专用条款】</w:t>
      </w:r>
      <w:r>
        <w:rPr>
          <w:rFonts w:hint="eastAsia" w:ascii="宋体" w:hAnsi="宋体"/>
          <w:szCs w:val="21"/>
        </w:rPr>
        <w:t>规定由乙方提供的其他服务。</w:t>
      </w:r>
    </w:p>
    <w:p w14:paraId="35549D7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14.2 乙方提供的售后服务的费用已包含在合同价款中，甲方不再另行支付。</w:t>
      </w:r>
    </w:p>
    <w:p w14:paraId="0A28C66E">
      <w:pPr>
        <w:adjustRightInd w:val="0"/>
        <w:snapToGrid w:val="0"/>
        <w:spacing w:line="400" w:lineRule="exact"/>
        <w:jc w:val="left"/>
        <w:rPr>
          <w:rFonts w:ascii="宋体" w:hAnsi="宋体"/>
          <w:b/>
          <w:bCs/>
          <w:sz w:val="24"/>
        </w:rPr>
      </w:pPr>
      <w:r>
        <w:rPr>
          <w:rFonts w:hint="eastAsia" w:ascii="宋体" w:hAnsi="宋体"/>
          <w:b/>
          <w:bCs/>
          <w:sz w:val="24"/>
        </w:rPr>
        <w:t>15. 违约责任</w:t>
      </w:r>
    </w:p>
    <w:p w14:paraId="59511D49">
      <w:pPr>
        <w:adjustRightInd w:val="0"/>
        <w:snapToGrid w:val="0"/>
        <w:spacing w:line="400" w:lineRule="exact"/>
        <w:ind w:firstLine="420" w:firstLineChars="200"/>
        <w:jc w:val="left"/>
        <w:rPr>
          <w:rFonts w:ascii="宋体" w:hAnsi="宋体"/>
          <w:bCs/>
          <w:szCs w:val="21"/>
        </w:rPr>
      </w:pPr>
      <w:r>
        <w:rPr>
          <w:rFonts w:hint="eastAsia" w:ascii="宋体" w:hAnsi="宋体"/>
          <w:bCs/>
          <w:szCs w:val="21"/>
        </w:rPr>
        <w:t>15.1质量瑕疵的违约责任</w:t>
      </w:r>
    </w:p>
    <w:p w14:paraId="17DD639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乙方提供的产品不符合合同约定的质量标准或存在产品质量缺陷，甲方有权要求乙方根据</w:t>
      </w:r>
      <w:r>
        <w:rPr>
          <w:rFonts w:hint="eastAsia" w:ascii="宋体" w:hAnsi="宋体"/>
          <w:b/>
          <w:szCs w:val="21"/>
        </w:rPr>
        <w:t>【政府采购合同专用条款】</w:t>
      </w:r>
      <w:r>
        <w:rPr>
          <w:rFonts w:hint="eastAsia" w:ascii="宋体" w:hAnsi="宋体"/>
          <w:bCs/>
          <w:szCs w:val="21"/>
        </w:rPr>
        <w:t>要求</w:t>
      </w:r>
      <w:r>
        <w:rPr>
          <w:rFonts w:hint="eastAsia" w:ascii="宋体" w:hAnsi="宋体"/>
          <w:szCs w:val="21"/>
        </w:rPr>
        <w:t>及时修理、重作、更换，并承担由此给甲方造成的损失。</w:t>
      </w:r>
    </w:p>
    <w:p w14:paraId="23438608">
      <w:pPr>
        <w:autoSpaceDE w:val="0"/>
        <w:autoSpaceDN w:val="0"/>
        <w:adjustRightInd w:val="0"/>
        <w:snapToGrid w:val="0"/>
        <w:spacing w:line="400" w:lineRule="exact"/>
        <w:ind w:firstLine="420" w:firstLineChars="200"/>
        <w:jc w:val="left"/>
        <w:rPr>
          <w:rFonts w:ascii="宋体" w:hAnsi="宋体"/>
          <w:bCs/>
          <w:szCs w:val="21"/>
        </w:rPr>
      </w:pPr>
      <w:r>
        <w:rPr>
          <w:rFonts w:hint="eastAsia" w:ascii="宋体" w:hAnsi="宋体"/>
          <w:bCs/>
          <w:szCs w:val="21"/>
        </w:rPr>
        <w:t>15.2 迟延交货的违约责任</w:t>
      </w:r>
    </w:p>
    <w:p w14:paraId="7079AE6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0723B867">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（2）如果乙方没有按照合同规定的时间交货和提供相关服务，甲方有权从货款中扣除误期赔偿费而不影响合同项下的其他补救方法，赔偿费按</w:t>
      </w:r>
      <w:r>
        <w:rPr>
          <w:rFonts w:hint="eastAsia" w:ascii="宋体" w:hAnsi="宋体"/>
          <w:b/>
          <w:szCs w:val="21"/>
        </w:rPr>
        <w:t>【政府采购合同专用条款】</w:t>
      </w:r>
      <w:r>
        <w:rPr>
          <w:rFonts w:hint="eastAsia" w:ascii="宋体" w:hAnsi="宋体"/>
          <w:szCs w:val="21"/>
        </w:rPr>
        <w:t>规定执行。如果涉及公共利益，且赔偿金额无法弥补公共利益损失，甲方可要求继续履行或者采取其他补救措施。</w:t>
      </w:r>
    </w:p>
    <w:p w14:paraId="0065EFF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15.3 迟延支付的违约责任</w:t>
      </w:r>
    </w:p>
    <w:p w14:paraId="61B347B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甲方存在迟延支付乙方合同款项的，应当承担</w:t>
      </w:r>
      <w:r>
        <w:rPr>
          <w:rFonts w:hint="eastAsia" w:ascii="宋体" w:hAnsi="宋体"/>
          <w:b/>
          <w:bCs/>
          <w:szCs w:val="21"/>
        </w:rPr>
        <w:t>【政府采购合同专用条款】</w:t>
      </w:r>
      <w:r>
        <w:rPr>
          <w:rFonts w:hint="eastAsia" w:ascii="宋体" w:hAnsi="宋体"/>
          <w:szCs w:val="21"/>
        </w:rPr>
        <w:t>规定的逾期付款利息。</w:t>
      </w:r>
    </w:p>
    <w:p w14:paraId="35D437A4">
      <w:pPr>
        <w:adjustRightInd w:val="0"/>
        <w:snapToGrid w:val="0"/>
        <w:spacing w:line="400" w:lineRule="exact"/>
        <w:ind w:firstLine="420" w:firstLineChars="200"/>
        <w:jc w:val="left"/>
        <w:rPr>
          <w:rFonts w:ascii="宋体" w:hAnsi="宋体"/>
          <w:szCs w:val="21"/>
        </w:rPr>
      </w:pPr>
      <w:r>
        <w:rPr>
          <w:rFonts w:hint="eastAsia" w:ascii="宋体" w:hAnsi="宋体"/>
          <w:bCs/>
          <w:szCs w:val="21"/>
        </w:rPr>
        <w:t>15.4其他违约责任根据项目实际需要按</w:t>
      </w:r>
      <w:r>
        <w:rPr>
          <w:rFonts w:hint="eastAsia" w:ascii="宋体" w:hAnsi="宋体"/>
          <w:b/>
          <w:bCs/>
          <w:szCs w:val="21"/>
        </w:rPr>
        <w:t>【政府采购合同专用条款】</w:t>
      </w:r>
      <w:r>
        <w:rPr>
          <w:rFonts w:hint="eastAsia" w:ascii="宋体" w:hAnsi="宋体"/>
          <w:szCs w:val="21"/>
        </w:rPr>
        <w:t>规定执行。</w:t>
      </w:r>
    </w:p>
    <w:p w14:paraId="29675ADB">
      <w:pPr>
        <w:numPr>
          <w:ilvl w:val="0"/>
          <w:numId w:val="11"/>
        </w:numPr>
        <w:autoSpaceDE w:val="0"/>
        <w:autoSpaceDN w:val="0"/>
        <w:adjustRightInd w:val="0"/>
        <w:snapToGrid w:val="0"/>
        <w:spacing w:line="400" w:lineRule="exact"/>
        <w:jc w:val="left"/>
        <w:rPr>
          <w:rFonts w:ascii="宋体" w:hAnsi="宋体"/>
          <w:b/>
          <w:sz w:val="24"/>
        </w:rPr>
      </w:pPr>
      <w:r>
        <w:rPr>
          <w:rFonts w:hint="eastAsia" w:ascii="宋体" w:hAnsi="宋体"/>
          <w:b/>
          <w:sz w:val="24"/>
        </w:rPr>
        <w:t>合同变更、中止与终止</w:t>
      </w:r>
    </w:p>
    <w:p w14:paraId="7D1559F3">
      <w:pPr>
        <w:adjustRightInd w:val="0"/>
        <w:snapToGrid w:val="0"/>
        <w:spacing w:line="400" w:lineRule="exact"/>
        <w:jc w:val="left"/>
        <w:rPr>
          <w:rFonts w:ascii="宋体" w:hAnsi="宋体"/>
          <w:szCs w:val="21"/>
        </w:rPr>
      </w:pPr>
      <w:r>
        <w:rPr>
          <w:rFonts w:hint="eastAsia" w:ascii="宋体" w:hAnsi="宋体"/>
          <w:szCs w:val="21"/>
        </w:rPr>
        <w:t xml:space="preserve">    16.1合同的变更</w:t>
      </w:r>
    </w:p>
    <w:p w14:paraId="3728A9A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政府采购合同履行中，在不改变合同其他条款的前提下，甲方可以在合同价款10%的范围内追加与合同标的相同的货物，并就此与乙方协商一致后签订补充协议。</w:t>
      </w:r>
    </w:p>
    <w:p w14:paraId="2E0228FE">
      <w:pPr>
        <w:adjustRightInd w:val="0"/>
        <w:snapToGrid w:val="0"/>
        <w:spacing w:line="400" w:lineRule="exact"/>
        <w:ind w:firstLine="420" w:firstLineChars="200"/>
        <w:jc w:val="left"/>
        <w:rPr>
          <w:rFonts w:ascii="宋体" w:hAnsi="宋体"/>
          <w:szCs w:val="21"/>
        </w:rPr>
      </w:pPr>
      <w:r>
        <w:rPr>
          <w:rFonts w:hint="eastAsia" w:ascii="宋体" w:hAnsi="宋体"/>
          <w:szCs w:val="21"/>
        </w:rPr>
        <w:t>16.2合同的中止</w:t>
      </w:r>
    </w:p>
    <w:p w14:paraId="23EB5544">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（1）合同履行过程中因供应商就采购文件、采购过程或结果提起投诉的，甲方认为有必要的，可以中止合同的履行。</w:t>
      </w:r>
    </w:p>
    <w:p w14:paraId="1632E600">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39AE4EBD">
      <w:pPr>
        <w:pStyle w:val="102"/>
        <w:ind w:firstLine="420"/>
        <w:jc w:val="both"/>
        <w:rPr>
          <w:sz w:val="21"/>
        </w:rPr>
      </w:pPr>
      <w:r>
        <w:rPr>
          <w:rFonts w:hint="eastAsia" w:ascii="宋体" w:hAnsi="宋体" w:eastAsia="宋体" w:cs="宋体"/>
          <w:sz w:val="21"/>
        </w:rPr>
        <w:t>（3）乙方分立、合并或者变更住所的，应当及时以书面形式告知甲方。乙方没有及时告知甲方，致使合同履行发生困难的，甲方可以中止合同履行并要求乙方承担由此给甲方造成的损失。</w:t>
      </w:r>
    </w:p>
    <w:p w14:paraId="6F0F8019">
      <w:pPr>
        <w:snapToGrid w:val="0"/>
        <w:spacing w:line="400" w:lineRule="exact"/>
        <w:ind w:firstLine="420" w:firstLineChars="200"/>
        <w:jc w:val="left"/>
      </w:pPr>
      <w:r>
        <w:rPr>
          <w:rFonts w:hint="eastAsia" w:ascii="宋体" w:hAnsi="宋体"/>
          <w:szCs w:val="21"/>
        </w:rPr>
        <w:t>（4）甲方不得以行政区划调整、政府换届、机构或者职能调整以及相关责任人更替为由中止合同。</w:t>
      </w:r>
    </w:p>
    <w:p w14:paraId="40B23E50">
      <w:pPr>
        <w:adjustRightInd w:val="0"/>
        <w:snapToGrid w:val="0"/>
        <w:spacing w:line="400" w:lineRule="exact"/>
        <w:ind w:firstLine="420" w:firstLineChars="200"/>
        <w:jc w:val="left"/>
        <w:rPr>
          <w:rFonts w:ascii="宋体" w:hAnsi="宋体"/>
          <w:szCs w:val="21"/>
        </w:rPr>
      </w:pPr>
      <w:r>
        <w:rPr>
          <w:rFonts w:hint="eastAsia" w:ascii="宋体" w:hAnsi="宋体"/>
          <w:szCs w:val="21"/>
        </w:rPr>
        <w:t>16.3合同的终止</w:t>
      </w:r>
    </w:p>
    <w:p w14:paraId="110D4707">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（1）合同因有效期限届满而终止；</w:t>
      </w:r>
    </w:p>
    <w:p w14:paraId="456A815A">
      <w:pPr>
        <w:snapToGrid w:val="0"/>
        <w:spacing w:line="400" w:lineRule="exact"/>
        <w:ind w:firstLine="420" w:firstLineChars="200"/>
        <w:rPr>
          <w:rFonts w:ascii="宋体" w:hAnsi="宋体" w:cs="宋体"/>
          <w:szCs w:val="21"/>
        </w:rPr>
      </w:pPr>
      <w:r>
        <w:rPr>
          <w:rFonts w:hint="eastAsia" w:ascii="宋体" w:hAnsi="宋体"/>
          <w:szCs w:val="21"/>
        </w:rPr>
        <w:t>（2）乙方未按合同约定履行，构成根本性违约的，甲方有权终止合同，</w:t>
      </w:r>
      <w:r>
        <w:rPr>
          <w:rFonts w:hint="eastAsia" w:ascii="宋体" w:hAnsi="宋体" w:cs="宋体"/>
          <w:szCs w:val="21"/>
        </w:rPr>
        <w:t>并追究乙方的违约责任</w:t>
      </w:r>
      <w:r>
        <w:rPr>
          <w:rFonts w:hint="eastAsia" w:ascii="宋体" w:hAnsi="宋体"/>
          <w:szCs w:val="21"/>
        </w:rPr>
        <w:t>。</w:t>
      </w:r>
    </w:p>
    <w:p w14:paraId="21F1412C">
      <w:pPr>
        <w:pStyle w:val="102"/>
        <w:rPr>
          <w:rFonts w:ascii="宋体" w:hAnsi="宋体"/>
        </w:rPr>
      </w:pPr>
      <w:r>
        <w:rPr>
          <w:rFonts w:hint="eastAsia" w:ascii="宋体" w:hAnsi="宋体"/>
        </w:rPr>
        <w:t xml:space="preserve">16.4 </w:t>
      </w:r>
      <w:r>
        <w:rPr>
          <w:rFonts w:hint="eastAsia" w:ascii="宋体" w:hAnsi="宋体" w:eastAsia="宋体" w:cs="Times New Roman"/>
          <w:kern w:val="2"/>
          <w:sz w:val="21"/>
        </w:rPr>
        <w:t>涉及国家利益、社会公共利益的情形</w:t>
      </w:r>
    </w:p>
    <w:p w14:paraId="3F5E08E8">
      <w:pPr>
        <w:pStyle w:val="102"/>
        <w:ind w:firstLine="420"/>
        <w:jc w:val="both"/>
        <w:rPr>
          <w:sz w:val="21"/>
        </w:rPr>
      </w:pPr>
      <w:r>
        <w:rPr>
          <w:rFonts w:hint="eastAsia" w:ascii="宋体" w:hAnsi="宋体" w:eastAsia="宋体" w:cs="宋体"/>
          <w:sz w:val="21"/>
        </w:rPr>
        <w:t>政府采购合同继续履行将损害国家利益和社会公共利益的，双方当事人应当变更、中止或者终止合同。有过错的一方应当承担赔偿责任，双方都有过错的，各自承担相应的责任。</w:t>
      </w:r>
    </w:p>
    <w:p w14:paraId="1588708B">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17. 合同分包</w:t>
      </w:r>
    </w:p>
    <w:p w14:paraId="2E524A2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17.1 乙方不得将合同转包给其他供应商。涉及合同分包的，乙方应根据采购文件和投标（响应）文件规定进行合同分包。</w:t>
      </w:r>
    </w:p>
    <w:p w14:paraId="25F49DB4">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17.2 乙方执行政府采购政策向中小企业依法分包的，乙方应当按采购文件和投标（响应）文件签订分包意向协议，分包意向协议属于本合同组成部分。</w:t>
      </w:r>
    </w:p>
    <w:p w14:paraId="3452D7CF">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18. 不可抗力</w:t>
      </w:r>
    </w:p>
    <w:p w14:paraId="692DFCBC">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18.1 不可抗力是指合同双方不能预见、不能避免且不能克服的客观情况。</w:t>
      </w:r>
    </w:p>
    <w:p w14:paraId="24459EA7">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18.2 任何一方对由于不可抗力造成的部分或全部不能履行合同不承担违约责任。但迟延履行后发生不可抗力的，不能免除责任。</w:t>
      </w:r>
    </w:p>
    <w:p w14:paraId="1DE424C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54643518">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19. 解决争议的方法</w:t>
      </w:r>
    </w:p>
    <w:p w14:paraId="2355C026">
      <w:pPr>
        <w:pStyle w:val="102"/>
        <w:ind w:firstLine="420"/>
        <w:jc w:val="both"/>
        <w:rPr>
          <w:rFonts w:ascii="宋体" w:hAnsi="宋体" w:eastAsia="宋体" w:cs="宋体"/>
          <w:sz w:val="21"/>
        </w:rPr>
      </w:pPr>
      <w:r>
        <w:rPr>
          <w:rFonts w:hint="eastAsia" w:ascii="宋体" w:hAnsi="宋体" w:eastAsia="宋体" w:cs="宋体"/>
          <w:sz w:val="21"/>
        </w:rPr>
        <w:t>19.1 因本合同及合同有关事项发生的争议，由甲乙双方友好协商解决。协商不成时，可以向有关组织申请调解。合同一方或双方不愿调解或调解不成的，可以通过仲裁或诉讼的方式解决争议。</w:t>
      </w:r>
    </w:p>
    <w:p w14:paraId="2BB930E5">
      <w:pPr>
        <w:pStyle w:val="102"/>
        <w:ind w:firstLine="420"/>
        <w:jc w:val="both"/>
        <w:rPr>
          <w:rFonts w:ascii="宋体" w:hAnsi="宋体" w:eastAsia="宋体" w:cs="宋体"/>
          <w:sz w:val="21"/>
        </w:rPr>
      </w:pPr>
      <w:r>
        <w:rPr>
          <w:rFonts w:hint="eastAsia" w:ascii="宋体" w:hAnsi="宋体" w:eastAsia="宋体" w:cs="宋体"/>
          <w:sz w:val="21"/>
        </w:rPr>
        <w:t>19.2 选择仲裁的，应在</w:t>
      </w:r>
      <w:r>
        <w:rPr>
          <w:rFonts w:hint="eastAsia" w:ascii="宋体" w:hAnsi="宋体" w:eastAsia="宋体" w:cs="宋体"/>
          <w:b/>
          <w:bCs/>
          <w:sz w:val="21"/>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sz w:val="21"/>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7A9598C8">
      <w:pPr>
        <w:pStyle w:val="102"/>
        <w:ind w:firstLine="420"/>
        <w:jc w:val="both"/>
        <w:rPr>
          <w:rFonts w:ascii="宋体" w:hAnsi="宋体" w:eastAsia="宋体" w:cs="宋体"/>
          <w:sz w:val="21"/>
        </w:rPr>
      </w:pPr>
      <w:r>
        <w:rPr>
          <w:rFonts w:hint="eastAsia" w:ascii="宋体" w:hAnsi="宋体" w:eastAsia="宋体" w:cs="宋体"/>
          <w:sz w:val="21"/>
        </w:rPr>
        <w:t>19.3 如甲乙双方有争议的事项不影响合同其他部分的履行，在争议解决期间，合同其他部分应当继续履行。</w:t>
      </w:r>
    </w:p>
    <w:p w14:paraId="58131775">
      <w:pPr>
        <w:autoSpaceDE w:val="0"/>
        <w:autoSpaceDN w:val="0"/>
        <w:adjustRightInd w:val="0"/>
        <w:snapToGrid w:val="0"/>
        <w:spacing w:line="400" w:lineRule="exact"/>
        <w:jc w:val="left"/>
        <w:rPr>
          <w:rFonts w:ascii="宋体" w:hAnsi="宋体"/>
          <w:sz w:val="24"/>
        </w:rPr>
      </w:pPr>
      <w:r>
        <w:rPr>
          <w:rFonts w:hint="eastAsia" w:ascii="宋体" w:hAnsi="宋体"/>
          <w:b/>
          <w:sz w:val="24"/>
        </w:rPr>
        <w:t>20. 政府采购政策</w:t>
      </w:r>
    </w:p>
    <w:p w14:paraId="6F77C56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 xml:space="preserve">20.1 </w:t>
      </w:r>
      <w:r>
        <w:rPr>
          <w:rFonts w:hint="eastAsia" w:ascii="宋体" w:hAnsi="宋体" w:cs="宋体"/>
          <w:lang w:val="en-GB"/>
        </w:rPr>
        <w:t>本合同应当按照规定执行政府采购政策。</w:t>
      </w:r>
    </w:p>
    <w:p w14:paraId="60DE1CAC">
      <w:pPr>
        <w:autoSpaceDE w:val="0"/>
        <w:autoSpaceDN w:val="0"/>
        <w:adjustRightInd w:val="0"/>
        <w:snapToGrid w:val="0"/>
        <w:spacing w:line="400" w:lineRule="exact"/>
        <w:ind w:firstLine="420" w:firstLineChars="200"/>
        <w:jc w:val="left"/>
        <w:rPr>
          <w:rFonts w:ascii="宋体" w:hAnsi="宋体"/>
          <w:szCs w:val="21"/>
        </w:rPr>
      </w:pPr>
      <w:r>
        <w:rPr>
          <w:rFonts w:ascii="宋体" w:hAnsi="宋体"/>
          <w:szCs w:val="21"/>
        </w:rPr>
        <w:t>2</w:t>
      </w:r>
      <w:r>
        <w:rPr>
          <w:rFonts w:hint="eastAsia" w:ascii="宋体" w:hAnsi="宋体"/>
          <w:szCs w:val="21"/>
        </w:rPr>
        <w:t>0.2 本合同依法执行政府采购政策的方式和内容，属于合同履约验收的范围。</w:t>
      </w:r>
      <w:r>
        <w:rPr>
          <w:rFonts w:hint="eastAsia" w:ascii="宋体" w:hAnsi="宋体" w:cs="宋体"/>
        </w:rPr>
        <w:t>甲乙双方</w:t>
      </w:r>
      <w:r>
        <w:rPr>
          <w:rFonts w:hint="eastAsia" w:ascii="宋体" w:hAnsi="宋体" w:cs="宋体"/>
          <w:lang w:val="en-GB"/>
        </w:rPr>
        <w:t>未按规定要求执行政府采购政策造成损失的</w:t>
      </w:r>
      <w:r>
        <w:rPr>
          <w:rFonts w:hint="eastAsia" w:ascii="宋体" w:hAnsi="宋体"/>
          <w:szCs w:val="21"/>
        </w:rPr>
        <w:t>，有过错的一方应当承担赔偿责任，双方都有过错的，各自承担相应的责任。</w:t>
      </w:r>
    </w:p>
    <w:p w14:paraId="43FEDB4F">
      <w:pPr>
        <w:pStyle w:val="16"/>
        <w:spacing w:line="400" w:lineRule="exact"/>
        <w:ind w:firstLine="482" w:firstLineChars="200"/>
      </w:pPr>
      <w:r>
        <w:rPr>
          <w:rFonts w:ascii="宋体" w:hAnsi="宋体"/>
          <w:szCs w:val="21"/>
        </w:rPr>
        <w:t>2</w:t>
      </w:r>
      <w:r>
        <w:rPr>
          <w:rFonts w:hint="eastAsia" w:ascii="宋体" w:hAnsi="宋体"/>
          <w:szCs w:val="21"/>
        </w:rPr>
        <w:t>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233043F6">
      <w:pPr>
        <w:autoSpaceDE w:val="0"/>
        <w:autoSpaceDN w:val="0"/>
        <w:adjustRightInd w:val="0"/>
        <w:snapToGrid w:val="0"/>
        <w:spacing w:line="400" w:lineRule="exact"/>
        <w:jc w:val="left"/>
        <w:rPr>
          <w:rFonts w:ascii="宋体" w:hAnsi="宋体"/>
          <w:b/>
          <w:sz w:val="24"/>
        </w:rPr>
      </w:pPr>
      <w:r>
        <w:rPr>
          <w:rFonts w:hint="eastAsia" w:ascii="宋体" w:hAnsi="宋体"/>
          <w:b/>
          <w:sz w:val="24"/>
        </w:rPr>
        <w:t>21. 法律适用</w:t>
      </w:r>
    </w:p>
    <w:p w14:paraId="0DABFB2E">
      <w:pPr>
        <w:pStyle w:val="102"/>
        <w:ind w:firstLine="420"/>
        <w:jc w:val="both"/>
        <w:rPr>
          <w:rFonts w:ascii="宋体" w:hAnsi="宋体" w:eastAsia="宋体" w:cs="宋体"/>
          <w:sz w:val="21"/>
        </w:rPr>
      </w:pPr>
      <w:r>
        <w:rPr>
          <w:rFonts w:hint="eastAsia" w:ascii="宋体" w:hAnsi="宋体" w:eastAsia="宋体" w:cs="宋体"/>
          <w:sz w:val="21"/>
        </w:rPr>
        <w:t>21.1 本合同的订立、生效、解释、履行及与本合同有关的争议解决，均适用法律、行政法规。</w:t>
      </w:r>
    </w:p>
    <w:p w14:paraId="19CFB9C7">
      <w:pPr>
        <w:pStyle w:val="102"/>
        <w:ind w:firstLine="420"/>
        <w:jc w:val="both"/>
        <w:rPr>
          <w:rFonts w:ascii="宋体" w:hAnsi="宋体" w:eastAsia="宋体" w:cs="宋体"/>
          <w:sz w:val="21"/>
        </w:rPr>
      </w:pPr>
      <w:r>
        <w:rPr>
          <w:rFonts w:hint="eastAsia" w:ascii="宋体" w:hAnsi="宋体" w:eastAsia="宋体" w:cs="宋体"/>
          <w:sz w:val="21"/>
        </w:rPr>
        <w:t>21.2 本合同条款与法律、行政法规的强制性规定不一致的，双方当事人应按照法律、行政法规的强制性规定修改本合同的相关条款。</w:t>
      </w:r>
    </w:p>
    <w:p w14:paraId="5116C542">
      <w:pPr>
        <w:numPr>
          <w:ilvl w:val="255"/>
          <w:numId w:val="0"/>
        </w:numPr>
        <w:autoSpaceDE w:val="0"/>
        <w:autoSpaceDN w:val="0"/>
        <w:adjustRightInd w:val="0"/>
        <w:snapToGrid w:val="0"/>
        <w:spacing w:line="400" w:lineRule="exact"/>
        <w:jc w:val="left"/>
        <w:rPr>
          <w:rFonts w:ascii="宋体" w:hAnsi="宋体"/>
          <w:b/>
          <w:sz w:val="24"/>
        </w:rPr>
      </w:pPr>
      <w:r>
        <w:rPr>
          <w:rFonts w:hint="eastAsia" w:ascii="宋体" w:hAnsi="宋体"/>
          <w:b/>
          <w:sz w:val="24"/>
        </w:rPr>
        <w:t>22. 通知</w:t>
      </w:r>
    </w:p>
    <w:p w14:paraId="719A5721">
      <w:pPr>
        <w:pStyle w:val="102"/>
        <w:ind w:firstLine="420"/>
        <w:jc w:val="both"/>
        <w:rPr>
          <w:rFonts w:ascii="宋体" w:hAnsi="宋体" w:eastAsia="宋体" w:cs="宋体"/>
          <w:sz w:val="21"/>
        </w:rPr>
      </w:pPr>
      <w:r>
        <w:rPr>
          <w:rFonts w:hint="eastAsia" w:ascii="宋体" w:hAnsi="宋体" w:eastAsia="宋体" w:cs="宋体"/>
          <w:sz w:val="21"/>
        </w:rPr>
        <w:t>22.1 本合同任何一方向对方发出的通知、信件、数据电文等，应当发送至本合同第一部分《政府采购合同协议书》所约定的通讯地址、联系人、联系电话或电子邮箱。</w:t>
      </w:r>
    </w:p>
    <w:p w14:paraId="490D8B3E">
      <w:pPr>
        <w:pStyle w:val="102"/>
        <w:ind w:firstLine="0" w:firstLineChars="0"/>
        <w:jc w:val="both"/>
        <w:rPr>
          <w:sz w:val="21"/>
        </w:rPr>
      </w:pPr>
      <w:r>
        <w:rPr>
          <w:rFonts w:hint="eastAsia" w:ascii="宋体" w:hAnsi="宋体" w:eastAsia="宋体" w:cs="宋体"/>
          <w:sz w:val="21"/>
        </w:rPr>
        <w:t xml:space="preserve">    22.2 一方当事人变更名称、住所、联系人、联系电话或电子邮箱等信息的，应当在变更后3日内及时书面通知对方，对方实际收到变更通知前的送达仍为有效送达。</w:t>
      </w:r>
    </w:p>
    <w:p w14:paraId="27A3A5E9">
      <w:pPr>
        <w:adjustRightInd w:val="0"/>
        <w:snapToGrid w:val="0"/>
        <w:spacing w:line="400" w:lineRule="exact"/>
        <w:ind w:firstLine="420" w:firstLineChars="200"/>
        <w:jc w:val="left"/>
        <w:rPr>
          <w:rFonts w:ascii="宋体" w:hAnsi="宋体"/>
          <w:szCs w:val="21"/>
        </w:rPr>
      </w:pPr>
      <w:r>
        <w:rPr>
          <w:rFonts w:hint="eastAsia" w:ascii="宋体" w:hAnsi="宋体"/>
          <w:szCs w:val="21"/>
        </w:rPr>
        <w:t>22.3本合同一方给另一方的通知均应采用书面形式，传真或快递送到本合同中规定的对方的地址和办理签收手续。</w:t>
      </w:r>
    </w:p>
    <w:p w14:paraId="4C20B40F">
      <w:pPr>
        <w:adjustRightInd w:val="0"/>
        <w:snapToGrid w:val="0"/>
        <w:spacing w:line="400" w:lineRule="exact"/>
        <w:ind w:firstLine="420" w:firstLineChars="200"/>
        <w:jc w:val="left"/>
        <w:rPr>
          <w:rFonts w:ascii="宋体" w:hAnsi="宋体"/>
          <w:szCs w:val="21"/>
        </w:rPr>
      </w:pPr>
      <w:r>
        <w:rPr>
          <w:rFonts w:hint="eastAsia" w:ascii="宋体" w:hAnsi="宋体"/>
          <w:szCs w:val="21"/>
        </w:rPr>
        <w:t>22.4通知以送达之日或通知书中规定的生效之日起生效，两者中以较迟之日为准。</w:t>
      </w:r>
    </w:p>
    <w:p w14:paraId="1DA88A2E">
      <w:pPr>
        <w:numPr>
          <w:ilvl w:val="0"/>
          <w:numId w:val="12"/>
        </w:numPr>
        <w:adjustRightInd w:val="0"/>
        <w:snapToGrid w:val="0"/>
        <w:spacing w:line="400" w:lineRule="exact"/>
        <w:jc w:val="left"/>
        <w:rPr>
          <w:rFonts w:ascii="宋体" w:hAnsi="宋体"/>
          <w:b/>
          <w:bCs/>
          <w:sz w:val="24"/>
        </w:rPr>
      </w:pPr>
      <w:r>
        <w:rPr>
          <w:rFonts w:hint="eastAsia" w:ascii="宋体" w:hAnsi="宋体"/>
          <w:b/>
          <w:bCs/>
          <w:sz w:val="24"/>
        </w:rPr>
        <w:t>合同未尽事项</w:t>
      </w:r>
    </w:p>
    <w:p w14:paraId="65C9BB4F">
      <w:pPr>
        <w:adjustRightInd w:val="0"/>
        <w:snapToGrid w:val="0"/>
        <w:spacing w:line="400" w:lineRule="exact"/>
        <w:ind w:firstLine="420" w:firstLineChars="200"/>
        <w:jc w:val="left"/>
        <w:rPr>
          <w:rFonts w:ascii="宋体" w:hAnsi="宋体"/>
          <w:bCs/>
          <w:szCs w:val="21"/>
        </w:rPr>
      </w:pPr>
      <w:r>
        <w:rPr>
          <w:rFonts w:hint="eastAsia" w:ascii="宋体" w:hAnsi="宋体"/>
          <w:bCs/>
          <w:szCs w:val="21"/>
        </w:rPr>
        <w:t>23.1合同未尽事项见</w:t>
      </w:r>
      <w:r>
        <w:rPr>
          <w:rFonts w:hint="eastAsia" w:ascii="宋体" w:hAnsi="宋体"/>
          <w:b/>
          <w:szCs w:val="21"/>
        </w:rPr>
        <w:t>【政府采购合同专用条款】</w:t>
      </w:r>
      <w:r>
        <w:rPr>
          <w:rFonts w:hint="eastAsia" w:ascii="宋体" w:hAnsi="宋体"/>
          <w:bCs/>
          <w:szCs w:val="21"/>
        </w:rPr>
        <w:t>。</w:t>
      </w:r>
    </w:p>
    <w:p w14:paraId="0723B32C">
      <w:pPr>
        <w:adjustRightInd w:val="0"/>
        <w:snapToGrid w:val="0"/>
        <w:spacing w:line="400" w:lineRule="exact"/>
        <w:jc w:val="left"/>
        <w:rPr>
          <w:rFonts w:ascii="黑体" w:hAnsi="华文中宋" w:eastAsia="黑体"/>
          <w:sz w:val="28"/>
          <w:szCs w:val="28"/>
        </w:rPr>
      </w:pPr>
      <w:r>
        <w:rPr>
          <w:rFonts w:hint="eastAsia" w:ascii="宋体" w:hAnsi="宋体"/>
          <w:bCs/>
          <w:szCs w:val="21"/>
        </w:rPr>
        <w:t xml:space="preserve">    23.2 合同附件与合同正文具有同等的法律效力。</w:t>
      </w:r>
      <w:bookmarkStart w:id="36" w:name="_Toc20313"/>
    </w:p>
    <w:p w14:paraId="7F9D60EB">
      <w:pPr>
        <w:adjustRightInd w:val="0"/>
        <w:snapToGrid w:val="0"/>
        <w:jc w:val="center"/>
        <w:rPr>
          <w:rFonts w:ascii="黑体" w:hAnsi="华文中宋" w:eastAsia="黑体"/>
          <w:sz w:val="28"/>
          <w:szCs w:val="28"/>
        </w:rPr>
      </w:pPr>
      <w:r>
        <w:rPr>
          <w:rFonts w:hint="eastAsia" w:ascii="黑体" w:hAnsi="华文中宋" w:eastAsia="黑体"/>
          <w:sz w:val="28"/>
          <w:szCs w:val="28"/>
        </w:rPr>
        <w:br w:type="page"/>
      </w:r>
    </w:p>
    <w:p w14:paraId="539C1194">
      <w:pPr>
        <w:pStyle w:val="3"/>
        <w:adjustRightInd w:val="0"/>
        <w:snapToGrid w:val="0"/>
        <w:jc w:val="center"/>
        <w:rPr>
          <w:rFonts w:ascii="黑体" w:hAnsi="华文中宋"/>
          <w:b w:val="0"/>
          <w:bCs w:val="0"/>
          <w:sz w:val="28"/>
          <w:szCs w:val="28"/>
        </w:rPr>
      </w:pPr>
      <w:r>
        <w:rPr>
          <w:rFonts w:hint="eastAsia" w:ascii="黑体" w:hAnsi="华文中宋"/>
          <w:b w:val="0"/>
          <w:bCs w:val="0"/>
          <w:sz w:val="28"/>
          <w:szCs w:val="28"/>
        </w:rPr>
        <w:t>第三节 政府采购合同专用条款</w:t>
      </w:r>
      <w:bookmarkEnd w:id="36"/>
    </w:p>
    <w:tbl>
      <w:tblPr>
        <w:tblStyle w:val="41"/>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25C3AA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55B3E7F">
            <w:pPr>
              <w:adjustRightInd w:val="0"/>
              <w:snapToGrid w:val="0"/>
              <w:jc w:val="center"/>
              <w:rPr>
                <w:rFonts w:ascii="宋体" w:hAnsi="宋体"/>
                <w:szCs w:val="21"/>
              </w:rPr>
            </w:pPr>
            <w:r>
              <w:rPr>
                <w:rFonts w:hint="eastAsia" w:ascii="宋体" w:hAnsi="宋体"/>
                <w:szCs w:val="21"/>
              </w:rPr>
              <w:t>第二节</w:t>
            </w:r>
          </w:p>
          <w:p w14:paraId="38795EE9">
            <w:pPr>
              <w:adjustRightInd w:val="0"/>
              <w:snapToGrid w:val="0"/>
              <w:jc w:val="center"/>
              <w:rPr>
                <w:rFonts w:ascii="宋体" w:hAnsi="宋体"/>
                <w:szCs w:val="21"/>
              </w:rPr>
            </w:pPr>
            <w:r>
              <w:rPr>
                <w:rFonts w:hint="eastAsia" w:ascii="宋体" w:hAnsi="宋体"/>
                <w:szCs w:val="21"/>
              </w:rPr>
              <w:t>第1.2（6）项</w:t>
            </w:r>
          </w:p>
        </w:tc>
        <w:tc>
          <w:tcPr>
            <w:tcW w:w="1742" w:type="dxa"/>
            <w:vAlign w:val="center"/>
          </w:tcPr>
          <w:p w14:paraId="233AE325">
            <w:pPr>
              <w:adjustRightInd w:val="0"/>
              <w:snapToGrid w:val="0"/>
              <w:jc w:val="left"/>
              <w:rPr>
                <w:rFonts w:ascii="宋体" w:hAnsi="宋体"/>
                <w:szCs w:val="21"/>
              </w:rPr>
            </w:pPr>
            <w:r>
              <w:rPr>
                <w:rFonts w:hint="eastAsia" w:ascii="宋体" w:hAnsi="宋体"/>
                <w:szCs w:val="21"/>
              </w:rPr>
              <w:t>联合体具体要求</w:t>
            </w:r>
          </w:p>
        </w:tc>
        <w:tc>
          <w:tcPr>
            <w:tcW w:w="5170" w:type="dxa"/>
            <w:vAlign w:val="center"/>
          </w:tcPr>
          <w:p w14:paraId="2528B565">
            <w:pPr>
              <w:adjustRightInd w:val="0"/>
              <w:snapToGrid w:val="0"/>
              <w:jc w:val="left"/>
              <w:rPr>
                <w:rFonts w:ascii="宋体" w:hAnsi="宋体"/>
                <w:szCs w:val="21"/>
              </w:rPr>
            </w:pPr>
          </w:p>
        </w:tc>
      </w:tr>
      <w:tr w14:paraId="4A217B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607" w:type="dxa"/>
            <w:vAlign w:val="center"/>
          </w:tcPr>
          <w:p w14:paraId="5E81FC26">
            <w:pPr>
              <w:adjustRightInd w:val="0"/>
              <w:snapToGrid w:val="0"/>
              <w:jc w:val="center"/>
              <w:rPr>
                <w:rFonts w:ascii="宋体" w:hAnsi="宋体"/>
                <w:szCs w:val="21"/>
              </w:rPr>
            </w:pPr>
            <w:r>
              <w:rPr>
                <w:rFonts w:hint="eastAsia" w:ascii="宋体" w:hAnsi="宋体"/>
                <w:szCs w:val="21"/>
              </w:rPr>
              <w:t>第二节</w:t>
            </w:r>
          </w:p>
          <w:p w14:paraId="3BB32FC5">
            <w:pPr>
              <w:adjustRightInd w:val="0"/>
              <w:snapToGrid w:val="0"/>
              <w:jc w:val="center"/>
              <w:rPr>
                <w:rFonts w:ascii="宋体" w:hAnsi="宋体"/>
                <w:szCs w:val="21"/>
              </w:rPr>
            </w:pPr>
            <w:r>
              <w:rPr>
                <w:rFonts w:hint="eastAsia" w:ascii="宋体" w:hAnsi="宋体"/>
                <w:szCs w:val="21"/>
              </w:rPr>
              <w:t>第1.2（7）项</w:t>
            </w:r>
          </w:p>
        </w:tc>
        <w:tc>
          <w:tcPr>
            <w:tcW w:w="1742" w:type="dxa"/>
            <w:vAlign w:val="center"/>
          </w:tcPr>
          <w:p w14:paraId="643C7CF8">
            <w:pPr>
              <w:adjustRightInd w:val="0"/>
              <w:snapToGrid w:val="0"/>
              <w:jc w:val="left"/>
              <w:rPr>
                <w:rFonts w:ascii="宋体" w:hAnsi="宋体"/>
                <w:szCs w:val="21"/>
              </w:rPr>
            </w:pPr>
            <w:r>
              <w:rPr>
                <w:rFonts w:hint="eastAsia" w:ascii="宋体" w:hAnsi="宋体"/>
                <w:szCs w:val="21"/>
              </w:rPr>
              <w:t>其他术语解释</w:t>
            </w:r>
          </w:p>
        </w:tc>
        <w:tc>
          <w:tcPr>
            <w:tcW w:w="5170" w:type="dxa"/>
            <w:vAlign w:val="center"/>
          </w:tcPr>
          <w:p w14:paraId="7F931F37">
            <w:pPr>
              <w:adjustRightInd w:val="0"/>
              <w:snapToGrid w:val="0"/>
              <w:jc w:val="left"/>
              <w:rPr>
                <w:rFonts w:ascii="宋体" w:hAnsi="宋体"/>
                <w:szCs w:val="21"/>
              </w:rPr>
            </w:pPr>
          </w:p>
        </w:tc>
      </w:tr>
      <w:tr w14:paraId="7CD0D1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17CE460">
            <w:pPr>
              <w:adjustRightInd w:val="0"/>
              <w:snapToGrid w:val="0"/>
              <w:jc w:val="center"/>
              <w:rPr>
                <w:rFonts w:ascii="宋体" w:hAnsi="宋体"/>
                <w:szCs w:val="21"/>
              </w:rPr>
            </w:pPr>
            <w:r>
              <w:rPr>
                <w:rFonts w:hint="eastAsia" w:ascii="宋体" w:hAnsi="宋体"/>
                <w:szCs w:val="21"/>
              </w:rPr>
              <w:t>第二节</w:t>
            </w:r>
          </w:p>
          <w:p w14:paraId="2F51EC60">
            <w:pPr>
              <w:adjustRightInd w:val="0"/>
              <w:snapToGrid w:val="0"/>
              <w:jc w:val="center"/>
              <w:rPr>
                <w:rFonts w:ascii="宋体" w:hAnsi="宋体"/>
                <w:szCs w:val="21"/>
              </w:rPr>
            </w:pPr>
            <w:r>
              <w:rPr>
                <w:rFonts w:hint="eastAsia" w:ascii="宋体" w:hAnsi="宋体"/>
                <w:szCs w:val="21"/>
              </w:rPr>
              <w:t>第4.4款</w:t>
            </w:r>
          </w:p>
        </w:tc>
        <w:tc>
          <w:tcPr>
            <w:tcW w:w="1742" w:type="dxa"/>
            <w:vAlign w:val="center"/>
          </w:tcPr>
          <w:p w14:paraId="74E5ECE0">
            <w:pPr>
              <w:adjustRightInd w:val="0"/>
              <w:snapToGrid w:val="0"/>
              <w:jc w:val="left"/>
              <w:rPr>
                <w:rFonts w:ascii="宋体" w:hAnsi="宋体"/>
                <w:szCs w:val="21"/>
              </w:rPr>
            </w:pPr>
            <w:r>
              <w:rPr>
                <w:rFonts w:hint="eastAsia" w:ascii="宋体" w:hAnsi="宋体"/>
                <w:szCs w:val="21"/>
              </w:rPr>
              <w:t>履约验收中甲方提出异议或作出说明的期限</w:t>
            </w:r>
          </w:p>
        </w:tc>
        <w:tc>
          <w:tcPr>
            <w:tcW w:w="5170" w:type="dxa"/>
            <w:vAlign w:val="center"/>
          </w:tcPr>
          <w:p w14:paraId="33BD3617">
            <w:pPr>
              <w:adjustRightInd w:val="0"/>
              <w:snapToGrid w:val="0"/>
              <w:jc w:val="left"/>
              <w:rPr>
                <w:rFonts w:ascii="宋体" w:hAnsi="宋体"/>
                <w:szCs w:val="21"/>
              </w:rPr>
            </w:pPr>
          </w:p>
        </w:tc>
      </w:tr>
      <w:tr w14:paraId="2564B70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1EF7D49">
            <w:pPr>
              <w:adjustRightInd w:val="0"/>
              <w:snapToGrid w:val="0"/>
              <w:jc w:val="center"/>
              <w:rPr>
                <w:rFonts w:ascii="宋体" w:hAnsi="宋体"/>
                <w:szCs w:val="21"/>
              </w:rPr>
            </w:pPr>
            <w:r>
              <w:rPr>
                <w:rFonts w:hint="eastAsia" w:ascii="宋体" w:hAnsi="宋体"/>
                <w:szCs w:val="21"/>
              </w:rPr>
              <w:t>第二节</w:t>
            </w:r>
          </w:p>
          <w:p w14:paraId="0BA65D06">
            <w:pPr>
              <w:adjustRightInd w:val="0"/>
              <w:snapToGrid w:val="0"/>
              <w:jc w:val="center"/>
              <w:rPr>
                <w:rFonts w:ascii="宋体" w:hAnsi="宋体"/>
                <w:szCs w:val="21"/>
              </w:rPr>
            </w:pPr>
            <w:r>
              <w:rPr>
                <w:rFonts w:hint="eastAsia" w:ascii="宋体" w:hAnsi="宋体"/>
                <w:szCs w:val="21"/>
              </w:rPr>
              <w:t>第4.6款</w:t>
            </w:r>
          </w:p>
        </w:tc>
        <w:tc>
          <w:tcPr>
            <w:tcW w:w="1742" w:type="dxa"/>
            <w:vAlign w:val="center"/>
          </w:tcPr>
          <w:p w14:paraId="084B5A44">
            <w:pPr>
              <w:adjustRightInd w:val="0"/>
              <w:snapToGrid w:val="0"/>
              <w:jc w:val="left"/>
              <w:rPr>
                <w:rFonts w:ascii="宋体" w:hAnsi="宋体"/>
                <w:szCs w:val="21"/>
              </w:rPr>
            </w:pPr>
            <w:r>
              <w:rPr>
                <w:rFonts w:hint="eastAsia" w:ascii="宋体" w:hAnsi="宋体"/>
                <w:szCs w:val="21"/>
              </w:rPr>
              <w:t>约定甲方承担的其他义务和责任</w:t>
            </w:r>
          </w:p>
        </w:tc>
        <w:tc>
          <w:tcPr>
            <w:tcW w:w="5170" w:type="dxa"/>
            <w:vAlign w:val="center"/>
          </w:tcPr>
          <w:p w14:paraId="4DD2A730">
            <w:pPr>
              <w:adjustRightInd w:val="0"/>
              <w:snapToGrid w:val="0"/>
              <w:jc w:val="left"/>
              <w:rPr>
                <w:rFonts w:ascii="宋体" w:hAnsi="宋体"/>
                <w:szCs w:val="21"/>
              </w:rPr>
            </w:pPr>
          </w:p>
        </w:tc>
      </w:tr>
      <w:tr w14:paraId="30B575E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3CE522C">
            <w:pPr>
              <w:adjustRightInd w:val="0"/>
              <w:snapToGrid w:val="0"/>
              <w:jc w:val="center"/>
              <w:rPr>
                <w:rFonts w:ascii="宋体" w:hAnsi="宋体"/>
                <w:szCs w:val="21"/>
              </w:rPr>
            </w:pPr>
            <w:r>
              <w:rPr>
                <w:rFonts w:hint="eastAsia" w:ascii="宋体" w:hAnsi="宋体"/>
                <w:szCs w:val="21"/>
              </w:rPr>
              <w:t>第二节</w:t>
            </w:r>
          </w:p>
          <w:p w14:paraId="3D333887">
            <w:pPr>
              <w:snapToGrid w:val="0"/>
              <w:jc w:val="center"/>
            </w:pPr>
            <w:r>
              <w:rPr>
                <w:rFonts w:hint="eastAsia" w:ascii="宋体" w:hAnsi="宋体"/>
                <w:szCs w:val="21"/>
              </w:rPr>
              <w:t>第5.4款</w:t>
            </w:r>
          </w:p>
        </w:tc>
        <w:tc>
          <w:tcPr>
            <w:tcW w:w="1742" w:type="dxa"/>
            <w:vAlign w:val="center"/>
          </w:tcPr>
          <w:p w14:paraId="710C6503">
            <w:pPr>
              <w:adjustRightInd w:val="0"/>
              <w:snapToGrid w:val="0"/>
              <w:jc w:val="left"/>
              <w:rPr>
                <w:rFonts w:ascii="宋体" w:hAnsi="宋体"/>
                <w:szCs w:val="21"/>
              </w:rPr>
            </w:pPr>
            <w:r>
              <w:rPr>
                <w:rFonts w:hint="eastAsia" w:ascii="宋体" w:hAnsi="宋体"/>
                <w:szCs w:val="21"/>
              </w:rPr>
              <w:t>约定乙方承担的其他义务和责任</w:t>
            </w:r>
          </w:p>
        </w:tc>
        <w:tc>
          <w:tcPr>
            <w:tcW w:w="5170" w:type="dxa"/>
            <w:vAlign w:val="center"/>
          </w:tcPr>
          <w:p w14:paraId="038C195B">
            <w:pPr>
              <w:adjustRightInd w:val="0"/>
              <w:snapToGrid w:val="0"/>
              <w:jc w:val="left"/>
              <w:rPr>
                <w:rFonts w:ascii="宋体" w:hAnsi="宋体"/>
                <w:szCs w:val="21"/>
              </w:rPr>
            </w:pPr>
          </w:p>
        </w:tc>
      </w:tr>
      <w:tr w14:paraId="17872FE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C77E698">
            <w:pPr>
              <w:adjustRightInd w:val="0"/>
              <w:snapToGrid w:val="0"/>
              <w:jc w:val="center"/>
              <w:rPr>
                <w:rFonts w:ascii="宋体" w:hAnsi="宋体"/>
                <w:szCs w:val="21"/>
              </w:rPr>
            </w:pPr>
            <w:r>
              <w:rPr>
                <w:rFonts w:hint="eastAsia" w:ascii="宋体" w:hAnsi="宋体"/>
                <w:szCs w:val="21"/>
              </w:rPr>
              <w:t>第二节</w:t>
            </w:r>
          </w:p>
          <w:p w14:paraId="5ED6355A">
            <w:pPr>
              <w:snapToGrid w:val="0"/>
              <w:jc w:val="center"/>
              <w:rPr>
                <w:rFonts w:ascii="宋体" w:hAnsi="宋体"/>
                <w:szCs w:val="21"/>
              </w:rPr>
            </w:pPr>
            <w:r>
              <w:rPr>
                <w:rFonts w:hint="eastAsia" w:ascii="宋体" w:hAnsi="宋体"/>
                <w:szCs w:val="21"/>
              </w:rPr>
              <w:t>第6.1款</w:t>
            </w:r>
          </w:p>
        </w:tc>
        <w:tc>
          <w:tcPr>
            <w:tcW w:w="1742" w:type="dxa"/>
            <w:vAlign w:val="center"/>
          </w:tcPr>
          <w:p w14:paraId="5AC99942">
            <w:pPr>
              <w:adjustRightInd w:val="0"/>
              <w:snapToGrid w:val="0"/>
              <w:jc w:val="left"/>
              <w:rPr>
                <w:rFonts w:ascii="宋体" w:hAnsi="宋体"/>
                <w:szCs w:val="21"/>
              </w:rPr>
            </w:pPr>
            <w:r>
              <w:rPr>
                <w:rFonts w:hint="eastAsia" w:ascii="宋体" w:hAnsi="宋体"/>
                <w:szCs w:val="21"/>
              </w:rPr>
              <w:t>履行合同义务的顺序</w:t>
            </w:r>
          </w:p>
        </w:tc>
        <w:tc>
          <w:tcPr>
            <w:tcW w:w="5170" w:type="dxa"/>
            <w:vAlign w:val="center"/>
          </w:tcPr>
          <w:p w14:paraId="03095179">
            <w:pPr>
              <w:adjustRightInd w:val="0"/>
              <w:snapToGrid w:val="0"/>
              <w:jc w:val="left"/>
              <w:rPr>
                <w:rFonts w:ascii="宋体" w:hAnsi="宋体"/>
                <w:szCs w:val="21"/>
              </w:rPr>
            </w:pPr>
          </w:p>
        </w:tc>
      </w:tr>
      <w:tr w14:paraId="6AA9A59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38466DF1">
            <w:pPr>
              <w:adjustRightInd w:val="0"/>
              <w:snapToGrid w:val="0"/>
              <w:jc w:val="center"/>
              <w:rPr>
                <w:rFonts w:ascii="宋体" w:hAnsi="宋体"/>
                <w:szCs w:val="21"/>
              </w:rPr>
            </w:pPr>
            <w:r>
              <w:rPr>
                <w:rFonts w:hint="eastAsia" w:ascii="宋体" w:hAnsi="宋体"/>
                <w:szCs w:val="21"/>
              </w:rPr>
              <w:t>第二节</w:t>
            </w:r>
          </w:p>
          <w:p w14:paraId="00F4950A">
            <w:pPr>
              <w:adjustRightInd w:val="0"/>
              <w:snapToGrid w:val="0"/>
              <w:jc w:val="center"/>
              <w:rPr>
                <w:rFonts w:ascii="宋体" w:hAnsi="宋体"/>
                <w:szCs w:val="21"/>
              </w:rPr>
            </w:pPr>
            <w:r>
              <w:rPr>
                <w:rFonts w:hint="eastAsia" w:ascii="宋体" w:hAnsi="宋体"/>
                <w:szCs w:val="21"/>
              </w:rPr>
              <w:t>第7.1款</w:t>
            </w:r>
          </w:p>
        </w:tc>
        <w:tc>
          <w:tcPr>
            <w:tcW w:w="1742" w:type="dxa"/>
            <w:vAlign w:val="center"/>
          </w:tcPr>
          <w:p w14:paraId="420655FB">
            <w:pPr>
              <w:adjustRightInd w:val="0"/>
              <w:snapToGrid w:val="0"/>
              <w:jc w:val="left"/>
              <w:rPr>
                <w:rFonts w:ascii="宋体" w:hAnsi="宋体"/>
                <w:szCs w:val="21"/>
              </w:rPr>
            </w:pPr>
            <w:r>
              <w:rPr>
                <w:rFonts w:hint="eastAsia" w:ascii="宋体" w:hAnsi="宋体"/>
                <w:szCs w:val="21"/>
              </w:rPr>
              <w:t>包装特殊要求</w:t>
            </w:r>
          </w:p>
        </w:tc>
        <w:tc>
          <w:tcPr>
            <w:tcW w:w="5170" w:type="dxa"/>
            <w:vAlign w:val="center"/>
          </w:tcPr>
          <w:p w14:paraId="081D649E"/>
        </w:tc>
      </w:tr>
      <w:tr w14:paraId="407B7A4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0942616F">
            <w:pPr>
              <w:adjustRightInd w:val="0"/>
              <w:snapToGrid w:val="0"/>
              <w:jc w:val="center"/>
              <w:rPr>
                <w:rFonts w:ascii="宋体" w:hAnsi="宋体"/>
                <w:szCs w:val="21"/>
              </w:rPr>
            </w:pPr>
          </w:p>
        </w:tc>
        <w:tc>
          <w:tcPr>
            <w:tcW w:w="1742" w:type="dxa"/>
            <w:vAlign w:val="center"/>
          </w:tcPr>
          <w:p w14:paraId="52A08F0D">
            <w:pPr>
              <w:adjustRightInd w:val="0"/>
              <w:snapToGrid w:val="0"/>
              <w:jc w:val="left"/>
              <w:rPr>
                <w:rFonts w:ascii="宋体" w:hAnsi="宋体"/>
                <w:szCs w:val="21"/>
              </w:rPr>
            </w:pPr>
            <w:r>
              <w:rPr>
                <w:rFonts w:hint="eastAsia" w:ascii="宋体" w:hAnsi="宋体"/>
                <w:szCs w:val="21"/>
              </w:rPr>
              <w:t>指定现场</w:t>
            </w:r>
          </w:p>
        </w:tc>
        <w:tc>
          <w:tcPr>
            <w:tcW w:w="5170" w:type="dxa"/>
            <w:vAlign w:val="center"/>
          </w:tcPr>
          <w:p w14:paraId="749CDA9C"/>
        </w:tc>
      </w:tr>
      <w:tr w14:paraId="477A8C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5C0F978A">
            <w:pPr>
              <w:adjustRightInd w:val="0"/>
              <w:snapToGrid w:val="0"/>
              <w:jc w:val="center"/>
              <w:rPr>
                <w:rFonts w:ascii="宋体" w:hAnsi="宋体"/>
                <w:szCs w:val="21"/>
              </w:rPr>
            </w:pPr>
            <w:r>
              <w:rPr>
                <w:rFonts w:hint="eastAsia" w:ascii="宋体" w:hAnsi="宋体"/>
                <w:szCs w:val="21"/>
              </w:rPr>
              <w:t>第二节</w:t>
            </w:r>
          </w:p>
          <w:p w14:paraId="5D35727B">
            <w:pPr>
              <w:adjustRightInd w:val="0"/>
              <w:snapToGrid w:val="0"/>
              <w:jc w:val="center"/>
              <w:rPr>
                <w:rFonts w:ascii="宋体" w:hAnsi="宋体"/>
                <w:szCs w:val="21"/>
              </w:rPr>
            </w:pPr>
            <w:r>
              <w:rPr>
                <w:rFonts w:hint="eastAsia" w:ascii="宋体" w:hAnsi="宋体"/>
                <w:szCs w:val="21"/>
              </w:rPr>
              <w:t>第7.2款</w:t>
            </w:r>
          </w:p>
        </w:tc>
        <w:tc>
          <w:tcPr>
            <w:tcW w:w="1742" w:type="dxa"/>
            <w:vAlign w:val="center"/>
          </w:tcPr>
          <w:p w14:paraId="6675C15B">
            <w:pPr>
              <w:adjustRightInd w:val="0"/>
              <w:snapToGrid w:val="0"/>
              <w:jc w:val="left"/>
              <w:rPr>
                <w:rFonts w:ascii="宋体" w:hAnsi="宋体"/>
                <w:szCs w:val="21"/>
              </w:rPr>
            </w:pPr>
            <w:r>
              <w:rPr>
                <w:rFonts w:hint="eastAsia" w:ascii="宋体" w:hAnsi="宋体"/>
                <w:szCs w:val="21"/>
              </w:rPr>
              <w:t>运输特殊要求</w:t>
            </w:r>
          </w:p>
        </w:tc>
        <w:tc>
          <w:tcPr>
            <w:tcW w:w="5170" w:type="dxa"/>
            <w:vAlign w:val="center"/>
          </w:tcPr>
          <w:p w14:paraId="4E87B6BF"/>
        </w:tc>
      </w:tr>
      <w:tr w14:paraId="5ACEEB2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436A705D">
            <w:pPr>
              <w:adjustRightInd w:val="0"/>
              <w:snapToGrid w:val="0"/>
              <w:jc w:val="center"/>
              <w:rPr>
                <w:rFonts w:ascii="宋体" w:hAnsi="宋体"/>
                <w:szCs w:val="21"/>
              </w:rPr>
            </w:pPr>
            <w:r>
              <w:rPr>
                <w:rFonts w:hint="eastAsia" w:ascii="宋体" w:hAnsi="宋体"/>
                <w:szCs w:val="21"/>
              </w:rPr>
              <w:t>第二节</w:t>
            </w:r>
          </w:p>
          <w:p w14:paraId="65658B28">
            <w:pPr>
              <w:adjustRightInd w:val="0"/>
              <w:snapToGrid w:val="0"/>
              <w:jc w:val="center"/>
              <w:rPr>
                <w:rFonts w:ascii="宋体" w:hAnsi="宋体"/>
                <w:szCs w:val="21"/>
              </w:rPr>
            </w:pPr>
            <w:r>
              <w:rPr>
                <w:rFonts w:hint="eastAsia" w:ascii="宋体" w:hAnsi="宋体"/>
                <w:szCs w:val="21"/>
              </w:rPr>
              <w:t>第7.3款</w:t>
            </w:r>
          </w:p>
        </w:tc>
        <w:tc>
          <w:tcPr>
            <w:tcW w:w="1742" w:type="dxa"/>
            <w:vAlign w:val="center"/>
          </w:tcPr>
          <w:p w14:paraId="0398628A">
            <w:pPr>
              <w:adjustRightInd w:val="0"/>
              <w:snapToGrid w:val="0"/>
              <w:jc w:val="left"/>
              <w:rPr>
                <w:rFonts w:ascii="宋体" w:hAnsi="宋体"/>
                <w:szCs w:val="21"/>
              </w:rPr>
            </w:pPr>
            <w:r>
              <w:rPr>
                <w:rFonts w:hint="eastAsia" w:ascii="宋体" w:hAnsi="宋体"/>
                <w:szCs w:val="21"/>
              </w:rPr>
              <w:t>保险要求</w:t>
            </w:r>
          </w:p>
        </w:tc>
        <w:tc>
          <w:tcPr>
            <w:tcW w:w="5170" w:type="dxa"/>
            <w:vAlign w:val="center"/>
          </w:tcPr>
          <w:p w14:paraId="0808F5EB"/>
        </w:tc>
      </w:tr>
      <w:tr w14:paraId="3F054EB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F20D6AB">
            <w:pPr>
              <w:adjustRightInd w:val="0"/>
              <w:snapToGrid w:val="0"/>
              <w:jc w:val="center"/>
              <w:rPr>
                <w:rFonts w:ascii="宋体" w:hAnsi="宋体"/>
                <w:szCs w:val="21"/>
              </w:rPr>
            </w:pPr>
            <w:r>
              <w:rPr>
                <w:rFonts w:hint="eastAsia" w:ascii="宋体" w:hAnsi="宋体"/>
                <w:szCs w:val="21"/>
              </w:rPr>
              <w:t>第二节</w:t>
            </w:r>
          </w:p>
          <w:p w14:paraId="39D8363D">
            <w:pPr>
              <w:adjustRightInd w:val="0"/>
              <w:snapToGrid w:val="0"/>
              <w:jc w:val="center"/>
              <w:rPr>
                <w:rFonts w:ascii="宋体" w:hAnsi="宋体"/>
                <w:szCs w:val="21"/>
              </w:rPr>
            </w:pPr>
            <w:r>
              <w:rPr>
                <w:rFonts w:hint="eastAsia" w:ascii="宋体" w:hAnsi="宋体"/>
                <w:szCs w:val="21"/>
              </w:rPr>
              <w:t>第8.2（1）项</w:t>
            </w:r>
          </w:p>
        </w:tc>
        <w:tc>
          <w:tcPr>
            <w:tcW w:w="1742" w:type="dxa"/>
            <w:vAlign w:val="center"/>
          </w:tcPr>
          <w:p w14:paraId="36A58D04">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081F978A">
            <w:pPr>
              <w:autoSpaceDE w:val="0"/>
              <w:autoSpaceDN w:val="0"/>
              <w:adjustRightInd w:val="0"/>
              <w:snapToGrid w:val="0"/>
              <w:ind w:firstLine="420" w:firstLineChars="200"/>
              <w:jc w:val="left"/>
              <w:rPr>
                <w:rFonts w:ascii="宋体" w:hAnsi="宋体"/>
                <w:szCs w:val="21"/>
              </w:rPr>
            </w:pPr>
          </w:p>
        </w:tc>
      </w:tr>
      <w:tr w14:paraId="3B3E58D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9AA9F0C">
            <w:pPr>
              <w:adjustRightInd w:val="0"/>
              <w:snapToGrid w:val="0"/>
              <w:jc w:val="center"/>
              <w:rPr>
                <w:rFonts w:ascii="宋体" w:hAnsi="宋体"/>
                <w:szCs w:val="21"/>
              </w:rPr>
            </w:pPr>
            <w:r>
              <w:rPr>
                <w:rFonts w:hint="eastAsia" w:ascii="宋体" w:hAnsi="宋体"/>
                <w:szCs w:val="21"/>
              </w:rPr>
              <w:t>第二节</w:t>
            </w:r>
          </w:p>
          <w:p w14:paraId="31A468E6">
            <w:pPr>
              <w:adjustRightInd w:val="0"/>
              <w:snapToGrid w:val="0"/>
              <w:jc w:val="center"/>
              <w:rPr>
                <w:rFonts w:ascii="宋体" w:hAnsi="宋体"/>
                <w:szCs w:val="21"/>
              </w:rPr>
            </w:pPr>
            <w:r>
              <w:rPr>
                <w:rFonts w:hint="eastAsia" w:ascii="宋体" w:hAnsi="宋体"/>
                <w:szCs w:val="21"/>
              </w:rPr>
              <w:t>第8.2（3）项</w:t>
            </w:r>
          </w:p>
        </w:tc>
        <w:tc>
          <w:tcPr>
            <w:tcW w:w="1742" w:type="dxa"/>
            <w:vAlign w:val="center"/>
          </w:tcPr>
          <w:p w14:paraId="0B591BB8">
            <w:pPr>
              <w:adjustRightInd w:val="0"/>
              <w:snapToGrid w:val="0"/>
              <w:jc w:val="left"/>
              <w:rPr>
                <w:rFonts w:ascii="宋体" w:hAnsi="宋体"/>
                <w:szCs w:val="21"/>
              </w:rPr>
            </w:pPr>
            <w:r>
              <w:rPr>
                <w:rFonts w:hint="eastAsia" w:ascii="宋体" w:hAnsi="宋体"/>
                <w:szCs w:val="21"/>
              </w:rPr>
              <w:t>货物质量缺陷</w:t>
            </w:r>
          </w:p>
          <w:p w14:paraId="7489255A">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4C6AE0C9">
            <w:pPr>
              <w:adjustRightInd w:val="0"/>
              <w:snapToGrid w:val="0"/>
              <w:jc w:val="left"/>
              <w:rPr>
                <w:rFonts w:ascii="宋体" w:hAnsi="宋体"/>
                <w:szCs w:val="21"/>
              </w:rPr>
            </w:pPr>
          </w:p>
        </w:tc>
      </w:tr>
      <w:tr w14:paraId="40DDC8A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1E3C198">
            <w:pPr>
              <w:snapToGrid w:val="0"/>
              <w:jc w:val="center"/>
              <w:rPr>
                <w:rFonts w:ascii="宋体" w:hAnsi="宋体" w:cs="宋体"/>
                <w:szCs w:val="21"/>
              </w:rPr>
            </w:pPr>
            <w:r>
              <w:rPr>
                <w:rFonts w:hint="eastAsia" w:ascii="宋体" w:hAnsi="宋体" w:cs="宋体"/>
                <w:szCs w:val="21"/>
              </w:rPr>
              <w:t>第二节</w:t>
            </w:r>
          </w:p>
          <w:p w14:paraId="7986BD9B">
            <w:pPr>
              <w:pStyle w:val="102"/>
              <w:ind w:firstLine="0" w:firstLineChars="0"/>
              <w:jc w:val="center"/>
            </w:pPr>
            <w:r>
              <w:rPr>
                <w:rFonts w:hint="eastAsia" w:ascii="宋体" w:hAnsi="宋体" w:eastAsia="宋体" w:cs="宋体"/>
              </w:rPr>
              <w:t>第11.1款</w:t>
            </w:r>
          </w:p>
        </w:tc>
        <w:tc>
          <w:tcPr>
            <w:tcW w:w="1742" w:type="dxa"/>
            <w:vAlign w:val="center"/>
          </w:tcPr>
          <w:p w14:paraId="4124D7E6">
            <w:pPr>
              <w:adjustRightInd w:val="0"/>
              <w:snapToGrid w:val="0"/>
              <w:rPr>
                <w:rFonts w:ascii="宋体" w:hAnsi="宋体"/>
                <w:szCs w:val="21"/>
              </w:rPr>
            </w:pPr>
            <w:r>
              <w:rPr>
                <w:rFonts w:hint="eastAsia" w:ascii="宋体" w:hAnsi="宋体"/>
                <w:szCs w:val="21"/>
              </w:rPr>
              <w:t>其他应当保密的信息</w:t>
            </w:r>
          </w:p>
        </w:tc>
        <w:tc>
          <w:tcPr>
            <w:tcW w:w="5170" w:type="dxa"/>
            <w:vAlign w:val="center"/>
          </w:tcPr>
          <w:p w14:paraId="3D7B5E4F">
            <w:pPr>
              <w:adjustRightInd w:val="0"/>
              <w:snapToGrid w:val="0"/>
              <w:jc w:val="left"/>
              <w:rPr>
                <w:rFonts w:ascii="宋体" w:hAnsi="宋体"/>
                <w:szCs w:val="21"/>
              </w:rPr>
            </w:pPr>
          </w:p>
        </w:tc>
      </w:tr>
      <w:tr w14:paraId="5E2E911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176875BC">
            <w:pPr>
              <w:adjustRightInd w:val="0"/>
              <w:snapToGrid w:val="0"/>
              <w:jc w:val="center"/>
              <w:rPr>
                <w:rFonts w:ascii="宋体" w:hAnsi="宋体"/>
                <w:szCs w:val="21"/>
              </w:rPr>
            </w:pPr>
            <w:r>
              <w:rPr>
                <w:rFonts w:hint="eastAsia" w:ascii="宋体" w:hAnsi="宋体"/>
                <w:szCs w:val="21"/>
              </w:rPr>
              <w:t>第二节</w:t>
            </w:r>
          </w:p>
          <w:p w14:paraId="1D795B75">
            <w:pPr>
              <w:adjustRightInd w:val="0"/>
              <w:snapToGrid w:val="0"/>
              <w:jc w:val="center"/>
              <w:rPr>
                <w:rFonts w:ascii="宋体" w:hAnsi="宋体"/>
                <w:szCs w:val="21"/>
              </w:rPr>
            </w:pPr>
            <w:r>
              <w:rPr>
                <w:rFonts w:hint="eastAsia" w:ascii="宋体" w:hAnsi="宋体"/>
                <w:szCs w:val="21"/>
              </w:rPr>
              <w:t>第12.2款</w:t>
            </w:r>
          </w:p>
        </w:tc>
        <w:tc>
          <w:tcPr>
            <w:tcW w:w="1742" w:type="dxa"/>
            <w:vAlign w:val="center"/>
          </w:tcPr>
          <w:p w14:paraId="53B646C8">
            <w:pPr>
              <w:adjustRightInd w:val="0"/>
              <w:snapToGrid w:val="0"/>
              <w:jc w:val="left"/>
              <w:rPr>
                <w:rFonts w:ascii="宋体" w:hAnsi="宋体"/>
                <w:szCs w:val="21"/>
              </w:rPr>
            </w:pPr>
            <w:r>
              <w:rPr>
                <w:rFonts w:hint="eastAsia" w:ascii="宋体" w:hAnsi="宋体"/>
                <w:szCs w:val="21"/>
              </w:rPr>
              <w:t>合同价款支付时间</w:t>
            </w:r>
          </w:p>
        </w:tc>
        <w:tc>
          <w:tcPr>
            <w:tcW w:w="5170" w:type="dxa"/>
            <w:vAlign w:val="center"/>
          </w:tcPr>
          <w:p w14:paraId="12C6581A">
            <w:pPr>
              <w:adjustRightInd w:val="0"/>
              <w:snapToGrid w:val="0"/>
              <w:jc w:val="left"/>
              <w:rPr>
                <w:rFonts w:ascii="宋体" w:hAnsi="宋体"/>
                <w:szCs w:val="21"/>
              </w:rPr>
            </w:pPr>
          </w:p>
        </w:tc>
      </w:tr>
      <w:tr w14:paraId="3E19F54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B803F26">
            <w:pPr>
              <w:adjustRightInd w:val="0"/>
              <w:snapToGrid w:val="0"/>
              <w:jc w:val="center"/>
              <w:rPr>
                <w:rFonts w:ascii="宋体" w:hAnsi="宋体"/>
                <w:szCs w:val="21"/>
              </w:rPr>
            </w:pPr>
            <w:r>
              <w:rPr>
                <w:rFonts w:hint="eastAsia" w:ascii="宋体" w:hAnsi="宋体"/>
                <w:szCs w:val="21"/>
              </w:rPr>
              <w:t>第二节</w:t>
            </w:r>
          </w:p>
          <w:p w14:paraId="420365F4">
            <w:pPr>
              <w:adjustRightInd w:val="0"/>
              <w:snapToGrid w:val="0"/>
              <w:jc w:val="center"/>
              <w:rPr>
                <w:rFonts w:ascii="宋体" w:hAnsi="宋体"/>
                <w:szCs w:val="21"/>
              </w:rPr>
            </w:pPr>
            <w:r>
              <w:rPr>
                <w:rFonts w:hint="eastAsia" w:ascii="宋体" w:hAnsi="宋体"/>
                <w:szCs w:val="21"/>
              </w:rPr>
              <w:t>第13.2款</w:t>
            </w:r>
          </w:p>
        </w:tc>
        <w:tc>
          <w:tcPr>
            <w:tcW w:w="1742" w:type="dxa"/>
            <w:vAlign w:val="center"/>
          </w:tcPr>
          <w:p w14:paraId="176B109E">
            <w:pPr>
              <w:adjustRightInd w:val="0"/>
              <w:snapToGrid w:val="0"/>
              <w:jc w:val="left"/>
              <w:rPr>
                <w:rFonts w:ascii="宋体" w:hAnsi="宋体"/>
                <w:szCs w:val="21"/>
              </w:rPr>
            </w:pPr>
            <w:r>
              <w:rPr>
                <w:rFonts w:hint="eastAsia" w:ascii="宋体" w:hAnsi="宋体"/>
                <w:szCs w:val="21"/>
              </w:rPr>
              <w:t>履约保证金不予退还的情形</w:t>
            </w:r>
          </w:p>
        </w:tc>
        <w:tc>
          <w:tcPr>
            <w:tcW w:w="5170" w:type="dxa"/>
            <w:vAlign w:val="center"/>
          </w:tcPr>
          <w:p w14:paraId="0169421D">
            <w:pPr>
              <w:adjustRightInd w:val="0"/>
              <w:snapToGrid w:val="0"/>
              <w:jc w:val="left"/>
              <w:rPr>
                <w:rFonts w:ascii="宋体" w:hAnsi="宋体"/>
                <w:szCs w:val="21"/>
              </w:rPr>
            </w:pPr>
          </w:p>
        </w:tc>
      </w:tr>
      <w:tr w14:paraId="386F60A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4E46F9B">
            <w:pPr>
              <w:adjustRightInd w:val="0"/>
              <w:snapToGrid w:val="0"/>
              <w:jc w:val="center"/>
              <w:rPr>
                <w:rFonts w:ascii="宋体" w:hAnsi="宋体"/>
                <w:szCs w:val="21"/>
              </w:rPr>
            </w:pPr>
            <w:r>
              <w:rPr>
                <w:rFonts w:hint="eastAsia" w:ascii="宋体" w:hAnsi="宋体"/>
                <w:szCs w:val="21"/>
              </w:rPr>
              <w:t>第二节</w:t>
            </w:r>
          </w:p>
          <w:p w14:paraId="4A9A4A13">
            <w:pPr>
              <w:adjustRightInd w:val="0"/>
              <w:snapToGrid w:val="0"/>
              <w:jc w:val="center"/>
              <w:rPr>
                <w:rFonts w:ascii="宋体" w:hAnsi="宋体"/>
                <w:szCs w:val="21"/>
              </w:rPr>
            </w:pPr>
            <w:r>
              <w:rPr>
                <w:rFonts w:hint="eastAsia" w:ascii="宋体" w:hAnsi="宋体"/>
                <w:szCs w:val="21"/>
              </w:rPr>
              <w:t>第13.3款</w:t>
            </w:r>
          </w:p>
        </w:tc>
        <w:tc>
          <w:tcPr>
            <w:tcW w:w="1742" w:type="dxa"/>
            <w:vAlign w:val="center"/>
          </w:tcPr>
          <w:p w14:paraId="1C18A0A8">
            <w:pPr>
              <w:adjustRightInd w:val="0"/>
              <w:snapToGrid w:val="0"/>
              <w:jc w:val="left"/>
              <w:rPr>
                <w:rFonts w:ascii="宋体" w:hAnsi="宋体"/>
                <w:szCs w:val="21"/>
              </w:rPr>
            </w:pPr>
            <w:r>
              <w:rPr>
                <w:rFonts w:hint="eastAsia" w:ascii="宋体" w:hAnsi="宋体"/>
                <w:szCs w:val="21"/>
              </w:rPr>
              <w:t>履约保证金退还时间及逾期退还的违约金</w:t>
            </w:r>
          </w:p>
        </w:tc>
        <w:tc>
          <w:tcPr>
            <w:tcW w:w="5170" w:type="dxa"/>
            <w:vAlign w:val="center"/>
          </w:tcPr>
          <w:p w14:paraId="77D81A21">
            <w:pPr>
              <w:adjustRightInd w:val="0"/>
              <w:snapToGrid w:val="0"/>
              <w:jc w:val="left"/>
              <w:rPr>
                <w:rFonts w:ascii="宋体" w:hAnsi="宋体"/>
                <w:szCs w:val="21"/>
              </w:rPr>
            </w:pPr>
          </w:p>
        </w:tc>
      </w:tr>
      <w:tr w14:paraId="299769C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23DC638E">
            <w:pPr>
              <w:adjustRightInd w:val="0"/>
              <w:snapToGrid w:val="0"/>
              <w:jc w:val="center"/>
              <w:rPr>
                <w:rFonts w:ascii="宋体" w:hAnsi="宋体"/>
                <w:szCs w:val="21"/>
              </w:rPr>
            </w:pPr>
            <w:r>
              <w:rPr>
                <w:rFonts w:hint="eastAsia" w:ascii="宋体" w:hAnsi="宋体"/>
                <w:szCs w:val="21"/>
              </w:rPr>
              <w:t>第二节</w:t>
            </w:r>
          </w:p>
          <w:p w14:paraId="58E3F37C">
            <w:pPr>
              <w:adjustRightInd w:val="0"/>
              <w:snapToGrid w:val="0"/>
              <w:jc w:val="center"/>
              <w:rPr>
                <w:rFonts w:ascii="宋体" w:hAnsi="宋体"/>
                <w:szCs w:val="21"/>
              </w:rPr>
            </w:pPr>
            <w:r>
              <w:rPr>
                <w:rFonts w:hint="eastAsia" w:ascii="宋体" w:hAnsi="宋体"/>
                <w:szCs w:val="21"/>
              </w:rPr>
              <w:t>第14.1（3）项</w:t>
            </w:r>
          </w:p>
        </w:tc>
        <w:tc>
          <w:tcPr>
            <w:tcW w:w="1742" w:type="dxa"/>
            <w:vAlign w:val="center"/>
          </w:tcPr>
          <w:p w14:paraId="3C00BF07">
            <w:pPr>
              <w:adjustRightInd w:val="0"/>
              <w:snapToGrid w:val="0"/>
              <w:jc w:val="left"/>
              <w:rPr>
                <w:rFonts w:ascii="宋体" w:hAnsi="宋体"/>
                <w:szCs w:val="21"/>
              </w:rPr>
            </w:pPr>
            <w:r>
              <w:rPr>
                <w:rFonts w:hint="eastAsia" w:ascii="宋体" w:hAnsi="宋体"/>
                <w:szCs w:val="21"/>
              </w:rPr>
              <w:t>运行监督、维修期限</w:t>
            </w:r>
          </w:p>
        </w:tc>
        <w:tc>
          <w:tcPr>
            <w:tcW w:w="5170" w:type="dxa"/>
            <w:vAlign w:val="center"/>
          </w:tcPr>
          <w:p w14:paraId="03AD475D">
            <w:pPr>
              <w:adjustRightInd w:val="0"/>
              <w:snapToGrid w:val="0"/>
              <w:jc w:val="left"/>
              <w:rPr>
                <w:rFonts w:ascii="宋体" w:hAnsi="宋体"/>
                <w:szCs w:val="21"/>
              </w:rPr>
            </w:pPr>
          </w:p>
        </w:tc>
      </w:tr>
      <w:tr w14:paraId="10188EA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30C159C6">
            <w:pPr>
              <w:adjustRightInd w:val="0"/>
              <w:snapToGrid w:val="0"/>
              <w:jc w:val="center"/>
              <w:rPr>
                <w:rFonts w:ascii="宋体" w:hAnsi="宋体"/>
                <w:szCs w:val="21"/>
              </w:rPr>
            </w:pPr>
            <w:r>
              <w:rPr>
                <w:rFonts w:hint="eastAsia" w:ascii="宋体" w:hAnsi="宋体"/>
                <w:szCs w:val="21"/>
              </w:rPr>
              <w:t>第二节</w:t>
            </w:r>
          </w:p>
          <w:p w14:paraId="049DC50B">
            <w:pPr>
              <w:adjustRightInd w:val="0"/>
              <w:snapToGrid w:val="0"/>
              <w:jc w:val="center"/>
              <w:rPr>
                <w:rFonts w:ascii="宋体" w:hAnsi="宋体"/>
                <w:szCs w:val="21"/>
              </w:rPr>
            </w:pPr>
            <w:r>
              <w:rPr>
                <w:rFonts w:hint="eastAsia" w:ascii="宋体" w:hAnsi="宋体"/>
                <w:szCs w:val="21"/>
              </w:rPr>
              <w:t>第14.1（5）项</w:t>
            </w:r>
          </w:p>
        </w:tc>
        <w:tc>
          <w:tcPr>
            <w:tcW w:w="1742" w:type="dxa"/>
            <w:vAlign w:val="center"/>
          </w:tcPr>
          <w:p w14:paraId="339CEEBE">
            <w:pPr>
              <w:adjustRightInd w:val="0"/>
              <w:snapToGrid w:val="0"/>
              <w:jc w:val="left"/>
              <w:rPr>
                <w:rFonts w:ascii="宋体" w:hAnsi="宋体"/>
                <w:szCs w:val="21"/>
              </w:rPr>
            </w:pPr>
            <w:r>
              <w:rPr>
                <w:rFonts w:hint="eastAsia" w:ascii="宋体" w:hAnsi="宋体"/>
                <w:szCs w:val="21"/>
              </w:rPr>
              <w:t>货物回收的约定</w:t>
            </w:r>
          </w:p>
        </w:tc>
        <w:tc>
          <w:tcPr>
            <w:tcW w:w="5170" w:type="dxa"/>
            <w:vAlign w:val="center"/>
          </w:tcPr>
          <w:p w14:paraId="267FCE42">
            <w:pPr>
              <w:adjustRightInd w:val="0"/>
              <w:snapToGrid w:val="0"/>
              <w:jc w:val="left"/>
              <w:rPr>
                <w:rFonts w:ascii="宋体" w:hAnsi="宋体"/>
                <w:szCs w:val="21"/>
              </w:rPr>
            </w:pPr>
          </w:p>
        </w:tc>
      </w:tr>
      <w:tr w14:paraId="562840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9253386">
            <w:pPr>
              <w:adjustRightInd w:val="0"/>
              <w:snapToGrid w:val="0"/>
              <w:jc w:val="center"/>
              <w:rPr>
                <w:rFonts w:ascii="宋体" w:hAnsi="宋体"/>
                <w:szCs w:val="21"/>
              </w:rPr>
            </w:pPr>
            <w:r>
              <w:rPr>
                <w:rFonts w:hint="eastAsia" w:ascii="宋体" w:hAnsi="宋体"/>
                <w:szCs w:val="21"/>
              </w:rPr>
              <w:t>第二节</w:t>
            </w:r>
          </w:p>
          <w:p w14:paraId="43365E84">
            <w:pPr>
              <w:adjustRightInd w:val="0"/>
              <w:snapToGrid w:val="0"/>
              <w:jc w:val="center"/>
              <w:rPr>
                <w:rFonts w:ascii="宋体" w:hAnsi="宋体"/>
                <w:szCs w:val="21"/>
              </w:rPr>
            </w:pPr>
            <w:r>
              <w:rPr>
                <w:rFonts w:hint="eastAsia" w:ascii="宋体" w:hAnsi="宋体"/>
                <w:szCs w:val="21"/>
              </w:rPr>
              <w:t>第14.1（6）项</w:t>
            </w:r>
          </w:p>
        </w:tc>
        <w:tc>
          <w:tcPr>
            <w:tcW w:w="1742" w:type="dxa"/>
            <w:vAlign w:val="center"/>
          </w:tcPr>
          <w:p w14:paraId="17D4C8B2">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592406DD">
            <w:pPr>
              <w:adjustRightInd w:val="0"/>
              <w:snapToGrid w:val="0"/>
              <w:jc w:val="left"/>
              <w:rPr>
                <w:rFonts w:ascii="宋体" w:hAnsi="宋体"/>
                <w:szCs w:val="21"/>
              </w:rPr>
            </w:pPr>
          </w:p>
        </w:tc>
      </w:tr>
      <w:tr w14:paraId="654851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1507CFF">
            <w:pPr>
              <w:adjustRightInd w:val="0"/>
              <w:snapToGrid w:val="0"/>
              <w:jc w:val="center"/>
              <w:rPr>
                <w:rFonts w:ascii="宋体" w:hAnsi="宋体"/>
                <w:szCs w:val="21"/>
              </w:rPr>
            </w:pPr>
            <w:r>
              <w:rPr>
                <w:rFonts w:hint="eastAsia" w:ascii="宋体" w:hAnsi="宋体"/>
                <w:szCs w:val="21"/>
              </w:rPr>
              <w:t>第二节</w:t>
            </w:r>
          </w:p>
          <w:p w14:paraId="67D830DB">
            <w:pPr>
              <w:adjustRightInd w:val="0"/>
              <w:snapToGrid w:val="0"/>
              <w:jc w:val="center"/>
              <w:rPr>
                <w:rFonts w:ascii="宋体" w:hAnsi="宋体"/>
                <w:szCs w:val="21"/>
              </w:rPr>
            </w:pPr>
            <w:r>
              <w:rPr>
                <w:rFonts w:hint="eastAsia" w:ascii="宋体" w:hAnsi="宋体"/>
                <w:szCs w:val="21"/>
              </w:rPr>
              <w:t>第15.1款</w:t>
            </w:r>
          </w:p>
        </w:tc>
        <w:tc>
          <w:tcPr>
            <w:tcW w:w="1742" w:type="dxa"/>
            <w:vAlign w:val="center"/>
          </w:tcPr>
          <w:p w14:paraId="6BD722D0">
            <w:pPr>
              <w:adjustRightInd w:val="0"/>
              <w:snapToGrid w:val="0"/>
              <w:jc w:val="left"/>
              <w:rPr>
                <w:rFonts w:ascii="宋体" w:hAnsi="宋体"/>
                <w:szCs w:val="21"/>
              </w:rPr>
            </w:pPr>
            <w:r>
              <w:rPr>
                <w:rFonts w:hint="eastAsia" w:ascii="宋体" w:hAnsi="宋体"/>
                <w:szCs w:val="21"/>
              </w:rPr>
              <w:t>修理、重作、更换相关具体规定</w:t>
            </w:r>
          </w:p>
        </w:tc>
        <w:tc>
          <w:tcPr>
            <w:tcW w:w="5170" w:type="dxa"/>
            <w:vAlign w:val="center"/>
          </w:tcPr>
          <w:p w14:paraId="375F7CED">
            <w:pPr>
              <w:adjustRightInd w:val="0"/>
              <w:snapToGrid w:val="0"/>
              <w:jc w:val="left"/>
              <w:rPr>
                <w:rFonts w:ascii="宋体" w:hAnsi="宋体"/>
                <w:szCs w:val="21"/>
              </w:rPr>
            </w:pPr>
          </w:p>
        </w:tc>
      </w:tr>
      <w:tr w14:paraId="6C80091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260588A">
            <w:pPr>
              <w:adjustRightInd w:val="0"/>
              <w:snapToGrid w:val="0"/>
              <w:jc w:val="center"/>
              <w:rPr>
                <w:rFonts w:ascii="宋体" w:hAnsi="宋体"/>
                <w:szCs w:val="21"/>
              </w:rPr>
            </w:pPr>
            <w:r>
              <w:rPr>
                <w:rFonts w:hint="eastAsia" w:ascii="宋体" w:hAnsi="宋体"/>
                <w:szCs w:val="21"/>
              </w:rPr>
              <w:t>第二节</w:t>
            </w:r>
          </w:p>
          <w:p w14:paraId="65316A64">
            <w:pPr>
              <w:adjustRightInd w:val="0"/>
              <w:snapToGrid w:val="0"/>
              <w:jc w:val="center"/>
              <w:rPr>
                <w:rFonts w:ascii="宋体" w:hAnsi="宋体"/>
                <w:szCs w:val="21"/>
              </w:rPr>
            </w:pPr>
            <w:r>
              <w:rPr>
                <w:rFonts w:hint="eastAsia" w:ascii="宋体" w:hAnsi="宋体"/>
                <w:szCs w:val="21"/>
              </w:rPr>
              <w:t>第15.2（2）项</w:t>
            </w:r>
          </w:p>
        </w:tc>
        <w:tc>
          <w:tcPr>
            <w:tcW w:w="1742" w:type="dxa"/>
            <w:vAlign w:val="center"/>
          </w:tcPr>
          <w:p w14:paraId="33CB6A60">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1DBCBBDF">
            <w:pPr>
              <w:adjustRightInd w:val="0"/>
              <w:snapToGrid w:val="0"/>
              <w:jc w:val="left"/>
              <w:rPr>
                <w:rFonts w:ascii="宋体" w:hAnsi="宋体"/>
                <w:szCs w:val="21"/>
                <w:u w:val="single"/>
              </w:rPr>
            </w:pPr>
          </w:p>
        </w:tc>
      </w:tr>
      <w:tr w14:paraId="1581227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6E8ADB7">
            <w:pPr>
              <w:adjustRightInd w:val="0"/>
              <w:snapToGrid w:val="0"/>
              <w:jc w:val="center"/>
              <w:rPr>
                <w:rFonts w:ascii="宋体" w:hAnsi="宋体"/>
                <w:szCs w:val="21"/>
              </w:rPr>
            </w:pPr>
            <w:r>
              <w:rPr>
                <w:rFonts w:hint="eastAsia" w:ascii="宋体" w:hAnsi="宋体"/>
                <w:szCs w:val="21"/>
              </w:rPr>
              <w:t>第二节</w:t>
            </w:r>
          </w:p>
          <w:p w14:paraId="275D058C">
            <w:pPr>
              <w:adjustRightInd w:val="0"/>
              <w:snapToGrid w:val="0"/>
              <w:jc w:val="center"/>
              <w:rPr>
                <w:rFonts w:ascii="宋体" w:hAnsi="宋体"/>
                <w:szCs w:val="21"/>
              </w:rPr>
            </w:pPr>
            <w:r>
              <w:rPr>
                <w:rFonts w:hint="eastAsia" w:ascii="宋体" w:hAnsi="宋体"/>
                <w:szCs w:val="21"/>
              </w:rPr>
              <w:t>第15.3款</w:t>
            </w:r>
          </w:p>
        </w:tc>
        <w:tc>
          <w:tcPr>
            <w:tcW w:w="1742" w:type="dxa"/>
            <w:vAlign w:val="center"/>
          </w:tcPr>
          <w:p w14:paraId="36AA8AF3">
            <w:pPr>
              <w:adjustRightInd w:val="0"/>
              <w:snapToGrid w:val="0"/>
              <w:jc w:val="left"/>
              <w:rPr>
                <w:rFonts w:ascii="宋体" w:hAnsi="宋体"/>
                <w:szCs w:val="21"/>
              </w:rPr>
            </w:pPr>
            <w:r>
              <w:rPr>
                <w:rFonts w:hint="eastAsia" w:ascii="宋体" w:hAnsi="宋体"/>
                <w:szCs w:val="21"/>
              </w:rPr>
              <w:t>逾期付款利息</w:t>
            </w:r>
          </w:p>
        </w:tc>
        <w:tc>
          <w:tcPr>
            <w:tcW w:w="5170" w:type="dxa"/>
            <w:vAlign w:val="center"/>
          </w:tcPr>
          <w:p w14:paraId="47A163DE">
            <w:pPr>
              <w:adjustRightInd w:val="0"/>
              <w:snapToGrid w:val="0"/>
              <w:jc w:val="left"/>
              <w:rPr>
                <w:rFonts w:ascii="宋体" w:hAnsi="宋体"/>
                <w:szCs w:val="21"/>
                <w:u w:val="single"/>
              </w:rPr>
            </w:pPr>
          </w:p>
        </w:tc>
      </w:tr>
      <w:tr w14:paraId="56B5DC8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161377B6">
            <w:pPr>
              <w:adjustRightInd w:val="0"/>
              <w:snapToGrid w:val="0"/>
              <w:jc w:val="center"/>
              <w:rPr>
                <w:rFonts w:ascii="宋体" w:hAnsi="宋体"/>
                <w:szCs w:val="21"/>
              </w:rPr>
            </w:pPr>
            <w:r>
              <w:rPr>
                <w:rFonts w:hint="eastAsia" w:ascii="宋体" w:hAnsi="宋体"/>
                <w:szCs w:val="21"/>
              </w:rPr>
              <w:t>第二节</w:t>
            </w:r>
          </w:p>
          <w:p w14:paraId="03E4441B">
            <w:pPr>
              <w:adjustRightInd w:val="0"/>
              <w:snapToGrid w:val="0"/>
              <w:jc w:val="center"/>
              <w:rPr>
                <w:rFonts w:ascii="宋体" w:hAnsi="宋体"/>
                <w:szCs w:val="21"/>
              </w:rPr>
            </w:pPr>
            <w:r>
              <w:rPr>
                <w:rFonts w:hint="eastAsia" w:ascii="宋体" w:hAnsi="宋体"/>
                <w:szCs w:val="21"/>
              </w:rPr>
              <w:t>第15.4款</w:t>
            </w:r>
          </w:p>
        </w:tc>
        <w:tc>
          <w:tcPr>
            <w:tcW w:w="1742" w:type="dxa"/>
            <w:tcBorders>
              <w:left w:val="single" w:color="auto" w:sz="2" w:space="0"/>
              <w:bottom w:val="single" w:color="auto" w:sz="2" w:space="0"/>
              <w:right w:val="single" w:color="auto" w:sz="2" w:space="0"/>
            </w:tcBorders>
            <w:vAlign w:val="center"/>
          </w:tcPr>
          <w:p w14:paraId="6715821E">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3F2DAF96">
            <w:pPr>
              <w:adjustRightInd w:val="0"/>
              <w:snapToGrid w:val="0"/>
              <w:jc w:val="left"/>
              <w:rPr>
                <w:rFonts w:ascii="宋体" w:hAnsi="宋体"/>
                <w:szCs w:val="21"/>
                <w:u w:val="single"/>
              </w:rPr>
            </w:pPr>
          </w:p>
        </w:tc>
      </w:tr>
      <w:tr w14:paraId="163767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19DA8C2D">
            <w:pPr>
              <w:adjustRightInd w:val="0"/>
              <w:snapToGrid w:val="0"/>
              <w:jc w:val="center"/>
              <w:rPr>
                <w:rFonts w:ascii="宋体" w:hAnsi="宋体"/>
                <w:szCs w:val="21"/>
              </w:rPr>
            </w:pPr>
            <w:r>
              <w:rPr>
                <w:rFonts w:hint="eastAsia" w:ascii="宋体" w:hAnsi="宋体"/>
                <w:szCs w:val="21"/>
              </w:rPr>
              <w:t>第二节</w:t>
            </w:r>
          </w:p>
          <w:p w14:paraId="70405F5B">
            <w:pPr>
              <w:adjustRightInd w:val="0"/>
              <w:snapToGrid w:val="0"/>
              <w:jc w:val="center"/>
              <w:rPr>
                <w:rFonts w:ascii="宋体" w:hAnsi="宋体"/>
                <w:szCs w:val="21"/>
              </w:rPr>
            </w:pPr>
            <w:r>
              <w:rPr>
                <w:rFonts w:hint="eastAsia" w:ascii="宋体" w:hAnsi="宋体"/>
                <w:szCs w:val="21"/>
              </w:rPr>
              <w:t>第19.2款</w:t>
            </w:r>
          </w:p>
        </w:tc>
        <w:tc>
          <w:tcPr>
            <w:tcW w:w="1742" w:type="dxa"/>
            <w:tcBorders>
              <w:top w:val="single" w:color="auto" w:sz="2" w:space="0"/>
              <w:left w:val="single" w:color="auto" w:sz="2" w:space="0"/>
              <w:right w:val="single" w:color="auto" w:sz="2" w:space="0"/>
            </w:tcBorders>
            <w:vAlign w:val="center"/>
          </w:tcPr>
          <w:p w14:paraId="70970B0F">
            <w:pPr>
              <w:adjustRightInd w:val="0"/>
              <w:snapToGrid w:val="0"/>
              <w:jc w:val="left"/>
              <w:rPr>
                <w:rFonts w:ascii="宋体" w:hAnsi="宋体"/>
                <w:szCs w:val="21"/>
              </w:rPr>
            </w:pPr>
            <w:r>
              <w:rPr>
                <w:rFonts w:hint="eastAsia" w:ascii="宋体" w:hAnsi="宋体"/>
                <w:szCs w:val="21"/>
              </w:rPr>
              <w:t>解决争议的方法</w:t>
            </w:r>
          </w:p>
        </w:tc>
        <w:tc>
          <w:tcPr>
            <w:tcW w:w="5170" w:type="dxa"/>
            <w:tcBorders>
              <w:top w:val="single" w:color="auto" w:sz="2" w:space="0"/>
              <w:left w:val="single" w:color="auto" w:sz="2" w:space="0"/>
            </w:tcBorders>
            <w:vAlign w:val="center"/>
          </w:tcPr>
          <w:p w14:paraId="6D9038F4">
            <w:pPr>
              <w:autoSpaceDE w:val="0"/>
              <w:autoSpaceDN w:val="0"/>
              <w:adjustRightInd w:val="0"/>
              <w:snapToGrid w:val="0"/>
              <w:spacing w:line="400" w:lineRule="exact"/>
              <w:jc w:val="left"/>
              <w:rPr>
                <w:rFonts w:ascii="宋体" w:hAnsi="宋体" w:cs="宋体"/>
                <w:iCs/>
                <w:szCs w:val="21"/>
              </w:rPr>
            </w:pPr>
            <w:r>
              <w:rPr>
                <w:rFonts w:hint="eastAsia" w:ascii="宋体" w:hAnsi="宋体" w:cs="宋体"/>
                <w:iCs/>
                <w:szCs w:val="21"/>
              </w:rPr>
              <w:t>因本合同及合同有关事项发生的争议，按下列第</w:t>
            </w:r>
            <w:r>
              <w:rPr>
                <w:rFonts w:hint="eastAsia" w:ascii="宋体" w:hAnsi="宋体" w:cs="宋体"/>
                <w:iCs/>
                <w:szCs w:val="21"/>
                <w:u w:val="single"/>
              </w:rPr>
              <w:t xml:space="preserve">   </w:t>
            </w:r>
            <w:r>
              <w:rPr>
                <w:rFonts w:hint="eastAsia" w:ascii="宋体" w:hAnsi="宋体" w:cs="宋体"/>
                <w:iCs/>
                <w:szCs w:val="21"/>
              </w:rPr>
              <w:t>种方式解决：</w:t>
            </w:r>
          </w:p>
          <w:p w14:paraId="50E5E83E">
            <w:pPr>
              <w:autoSpaceDE w:val="0"/>
              <w:autoSpaceDN w:val="0"/>
              <w:adjustRightInd w:val="0"/>
              <w:snapToGrid w:val="0"/>
              <w:spacing w:line="400" w:lineRule="exact"/>
              <w:jc w:val="left"/>
              <w:rPr>
                <w:rFonts w:ascii="宋体" w:hAnsi="宋体" w:cs="宋体"/>
                <w:iCs/>
                <w:szCs w:val="21"/>
              </w:rPr>
            </w:pPr>
            <w:r>
              <w:rPr>
                <w:rFonts w:hint="eastAsia" w:ascii="宋体" w:hAnsi="宋体" w:cs="宋体"/>
                <w:iCs/>
                <w:szCs w:val="21"/>
              </w:rPr>
              <w:t>（1）向</w:t>
            </w:r>
            <w:r>
              <w:rPr>
                <w:rFonts w:hint="eastAsia" w:ascii="宋体" w:hAnsi="宋体" w:cs="宋体"/>
                <w:iCs/>
                <w:szCs w:val="21"/>
                <w:u w:val="single"/>
              </w:rPr>
              <w:t xml:space="preserve">                    </w:t>
            </w:r>
            <w:r>
              <w:rPr>
                <w:rFonts w:hint="eastAsia" w:ascii="宋体" w:hAnsi="宋体" w:cs="宋体"/>
                <w:iCs/>
                <w:szCs w:val="21"/>
              </w:rPr>
              <w:t>仲裁委员会申请仲裁，仲裁地点为</w:t>
            </w:r>
            <w:r>
              <w:rPr>
                <w:rFonts w:hint="eastAsia" w:ascii="宋体" w:hAnsi="宋体" w:cs="宋体"/>
                <w:iCs/>
                <w:szCs w:val="21"/>
                <w:u w:val="single"/>
              </w:rPr>
              <w:t xml:space="preserve">           </w:t>
            </w:r>
            <w:r>
              <w:rPr>
                <w:rFonts w:hint="eastAsia" w:ascii="宋体" w:hAnsi="宋体" w:cs="宋体"/>
                <w:iCs/>
                <w:szCs w:val="21"/>
              </w:rPr>
              <w:t>；</w:t>
            </w:r>
          </w:p>
          <w:p w14:paraId="1F0B7941">
            <w:pPr>
              <w:adjustRightInd w:val="0"/>
              <w:snapToGrid w:val="0"/>
              <w:jc w:val="left"/>
              <w:rPr>
                <w:rFonts w:ascii="宋体" w:hAnsi="宋体"/>
                <w:szCs w:val="21"/>
                <w:u w:val="single"/>
              </w:rPr>
            </w:pPr>
            <w:r>
              <w:rPr>
                <w:rFonts w:hint="eastAsia" w:ascii="宋体" w:hAnsi="宋体" w:cs="宋体"/>
                <w:iCs/>
                <w:szCs w:val="21"/>
              </w:rPr>
              <w:t>（2）向</w:t>
            </w:r>
            <w:r>
              <w:rPr>
                <w:rFonts w:hint="eastAsia" w:ascii="宋体" w:hAnsi="宋体" w:cs="宋体"/>
                <w:iCs/>
                <w:szCs w:val="21"/>
                <w:u w:val="single"/>
              </w:rPr>
              <w:t xml:space="preserve">                    </w:t>
            </w:r>
            <w:r>
              <w:rPr>
                <w:rFonts w:hint="eastAsia" w:ascii="宋体" w:hAnsi="宋体" w:cs="宋体"/>
                <w:iCs/>
                <w:szCs w:val="21"/>
              </w:rPr>
              <w:t>人民法院起诉。</w:t>
            </w:r>
          </w:p>
        </w:tc>
      </w:tr>
      <w:tr w14:paraId="163E48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667F7016">
            <w:pPr>
              <w:adjustRightInd w:val="0"/>
              <w:snapToGrid w:val="0"/>
              <w:jc w:val="center"/>
              <w:rPr>
                <w:rFonts w:ascii="宋体" w:hAnsi="宋体"/>
                <w:szCs w:val="21"/>
              </w:rPr>
            </w:pPr>
            <w:r>
              <w:rPr>
                <w:rFonts w:hint="eastAsia" w:ascii="宋体" w:hAnsi="宋体"/>
                <w:szCs w:val="21"/>
              </w:rPr>
              <w:t>第二节</w:t>
            </w:r>
          </w:p>
          <w:p w14:paraId="41FBE44B">
            <w:pPr>
              <w:adjustRightInd w:val="0"/>
              <w:snapToGrid w:val="0"/>
              <w:jc w:val="center"/>
              <w:rPr>
                <w:rFonts w:ascii="宋体" w:hAnsi="宋体"/>
                <w:szCs w:val="21"/>
              </w:rPr>
            </w:pPr>
            <w:r>
              <w:rPr>
                <w:rFonts w:hint="eastAsia" w:ascii="宋体" w:hAnsi="宋体"/>
                <w:szCs w:val="21"/>
              </w:rPr>
              <w:t>第23.1款</w:t>
            </w:r>
          </w:p>
        </w:tc>
        <w:tc>
          <w:tcPr>
            <w:tcW w:w="1742" w:type="dxa"/>
            <w:vAlign w:val="center"/>
          </w:tcPr>
          <w:p w14:paraId="7771E516">
            <w:pPr>
              <w:adjustRightInd w:val="0"/>
              <w:snapToGrid w:val="0"/>
              <w:jc w:val="left"/>
              <w:rPr>
                <w:rFonts w:ascii="宋体" w:hAnsi="宋体"/>
                <w:szCs w:val="21"/>
              </w:rPr>
            </w:pPr>
            <w:r>
              <w:rPr>
                <w:rFonts w:hint="eastAsia" w:ascii="宋体" w:hAnsi="宋体"/>
                <w:bCs/>
                <w:szCs w:val="21"/>
              </w:rPr>
              <w:t>其他专用条款</w:t>
            </w:r>
          </w:p>
        </w:tc>
        <w:tc>
          <w:tcPr>
            <w:tcW w:w="5170" w:type="dxa"/>
            <w:vAlign w:val="center"/>
          </w:tcPr>
          <w:p w14:paraId="676E8702">
            <w:pPr>
              <w:adjustRightInd w:val="0"/>
              <w:snapToGrid w:val="0"/>
              <w:jc w:val="left"/>
              <w:rPr>
                <w:rFonts w:ascii="宋体" w:hAnsi="宋体"/>
                <w:szCs w:val="21"/>
              </w:rPr>
            </w:pPr>
          </w:p>
        </w:tc>
      </w:tr>
    </w:tbl>
    <w:p w14:paraId="6E5EB28C"/>
    <w:p w14:paraId="41F49BEC"/>
    <w:p w14:paraId="600E7856">
      <w:pPr>
        <w:rPr>
          <w:rFonts w:ascii="宋体" w:hAnsi="宋体"/>
          <w:b/>
          <w:sz w:val="36"/>
          <w:szCs w:val="36"/>
        </w:rPr>
      </w:pPr>
    </w:p>
    <w:p w14:paraId="262B5FA6">
      <w:pPr>
        <w:rPr>
          <w:rFonts w:ascii="宋体" w:hAnsi="宋体"/>
          <w:b/>
          <w:sz w:val="36"/>
          <w:szCs w:val="36"/>
        </w:rPr>
      </w:pPr>
    </w:p>
    <w:p w14:paraId="69012610">
      <w:pPr>
        <w:rPr>
          <w:rFonts w:ascii="宋体" w:hAnsi="宋体"/>
          <w:b/>
          <w:sz w:val="36"/>
          <w:szCs w:val="36"/>
        </w:rPr>
      </w:pPr>
    </w:p>
    <w:p w14:paraId="6C1E2DF1">
      <w:pPr>
        <w:rPr>
          <w:rFonts w:ascii="宋体" w:hAnsi="宋体"/>
          <w:b/>
          <w:sz w:val="36"/>
          <w:szCs w:val="36"/>
        </w:rPr>
      </w:pPr>
    </w:p>
    <w:p w14:paraId="5CD57999">
      <w:pPr>
        <w:rPr>
          <w:rFonts w:ascii="宋体" w:hAnsi="宋体"/>
          <w:b/>
          <w:sz w:val="36"/>
          <w:szCs w:val="36"/>
        </w:rPr>
      </w:pPr>
    </w:p>
    <w:p w14:paraId="04A6D6F3">
      <w:pPr>
        <w:rPr>
          <w:rFonts w:ascii="宋体" w:hAnsi="宋体"/>
          <w:b/>
          <w:sz w:val="36"/>
          <w:szCs w:val="36"/>
        </w:rPr>
      </w:pPr>
    </w:p>
    <w:p w14:paraId="0F90DF21">
      <w:pPr>
        <w:rPr>
          <w:rFonts w:ascii="宋体" w:hAnsi="宋体"/>
          <w:b/>
          <w:sz w:val="36"/>
          <w:szCs w:val="36"/>
        </w:rPr>
      </w:pPr>
    </w:p>
    <w:p w14:paraId="43CCA6F7">
      <w:pPr>
        <w:rPr>
          <w:rFonts w:ascii="宋体" w:hAnsi="宋体"/>
          <w:b/>
          <w:sz w:val="36"/>
          <w:szCs w:val="36"/>
        </w:rPr>
      </w:pPr>
    </w:p>
    <w:p w14:paraId="1D2E317E">
      <w:pPr>
        <w:rPr>
          <w:rFonts w:ascii="宋体" w:hAnsi="宋体"/>
          <w:b/>
          <w:sz w:val="36"/>
          <w:szCs w:val="36"/>
        </w:rPr>
      </w:pPr>
    </w:p>
    <w:p w14:paraId="102D677F">
      <w:pPr>
        <w:rPr>
          <w:rFonts w:ascii="宋体" w:hAnsi="宋体"/>
          <w:b/>
          <w:sz w:val="36"/>
          <w:szCs w:val="36"/>
        </w:rPr>
      </w:pPr>
    </w:p>
    <w:p w14:paraId="38E839DF">
      <w:pPr>
        <w:rPr>
          <w:rFonts w:ascii="宋体" w:hAnsi="宋体"/>
          <w:b/>
          <w:sz w:val="36"/>
          <w:szCs w:val="36"/>
        </w:rPr>
      </w:pPr>
    </w:p>
    <w:p w14:paraId="4000E578">
      <w:pPr>
        <w:pStyle w:val="50"/>
        <w:rPr>
          <w:rFonts w:ascii="宋体" w:hAnsi="宋体" w:eastAsia="宋体" w:cs="仿宋_GB2312"/>
          <w:b/>
          <w:kern w:val="0"/>
          <w:sz w:val="36"/>
          <w:szCs w:val="36"/>
          <w:lang w:val="zh-CN"/>
        </w:rPr>
      </w:pPr>
    </w:p>
    <w:p w14:paraId="7D70150A">
      <w:pPr>
        <w:pStyle w:val="50"/>
        <w:rPr>
          <w:rFonts w:ascii="宋体" w:hAnsi="宋体" w:eastAsia="宋体" w:cs="仿宋_GB2312"/>
          <w:b/>
          <w:kern w:val="0"/>
          <w:sz w:val="36"/>
          <w:szCs w:val="36"/>
          <w:lang w:val="zh-CN"/>
        </w:rPr>
      </w:pPr>
    </w:p>
    <w:p w14:paraId="4FE428C7">
      <w:pPr>
        <w:pStyle w:val="50"/>
        <w:rPr>
          <w:rFonts w:ascii="宋体" w:hAnsi="宋体" w:eastAsia="宋体" w:cs="仿宋_GB2312"/>
          <w:b/>
          <w:kern w:val="0"/>
          <w:sz w:val="36"/>
          <w:szCs w:val="36"/>
          <w:lang w:val="zh-CN"/>
        </w:rPr>
      </w:pPr>
    </w:p>
    <w:p w14:paraId="7EFD35C7">
      <w:pPr>
        <w:pStyle w:val="50"/>
        <w:rPr>
          <w:rFonts w:ascii="宋体" w:hAnsi="宋体" w:eastAsia="宋体" w:cs="仿宋_GB2312"/>
          <w:b/>
          <w:kern w:val="0"/>
          <w:sz w:val="36"/>
          <w:szCs w:val="36"/>
          <w:lang w:val="zh-CN"/>
        </w:rPr>
      </w:pPr>
    </w:p>
    <w:p w14:paraId="53050B2D">
      <w:pPr>
        <w:pStyle w:val="50"/>
        <w:rPr>
          <w:rFonts w:ascii="宋体" w:hAnsi="宋体" w:eastAsia="宋体" w:cs="仿宋_GB2312"/>
          <w:b/>
          <w:kern w:val="0"/>
          <w:sz w:val="36"/>
          <w:szCs w:val="36"/>
          <w:lang w:val="zh-CN"/>
        </w:rPr>
      </w:pPr>
    </w:p>
    <w:p w14:paraId="038AAF2B">
      <w:pPr>
        <w:pStyle w:val="50"/>
        <w:rPr>
          <w:rFonts w:ascii="宋体" w:hAnsi="宋体" w:eastAsia="宋体" w:cs="仿宋_GB2312"/>
          <w:b/>
          <w:kern w:val="0"/>
          <w:sz w:val="36"/>
          <w:szCs w:val="36"/>
          <w:lang w:val="zh-CN"/>
        </w:rPr>
      </w:pPr>
    </w:p>
    <w:p w14:paraId="7A6EB4B9">
      <w:pPr>
        <w:pStyle w:val="50"/>
        <w:rPr>
          <w:rFonts w:ascii="宋体" w:hAnsi="宋体" w:eastAsia="宋体" w:cs="仿宋_GB2312"/>
          <w:b/>
          <w:kern w:val="0"/>
          <w:sz w:val="36"/>
          <w:szCs w:val="36"/>
          <w:lang w:val="zh-CN"/>
        </w:rPr>
      </w:pPr>
    </w:p>
    <w:p w14:paraId="04180E94">
      <w:pPr>
        <w:pStyle w:val="50"/>
        <w:rPr>
          <w:rFonts w:ascii="宋体" w:hAnsi="宋体" w:eastAsia="宋体" w:cs="仿宋_GB2312"/>
          <w:b/>
          <w:kern w:val="0"/>
          <w:sz w:val="36"/>
          <w:szCs w:val="36"/>
          <w:lang w:val="zh-CN"/>
        </w:rPr>
      </w:pPr>
    </w:p>
    <w:p w14:paraId="29F3F080">
      <w:pPr>
        <w:pStyle w:val="50"/>
        <w:rPr>
          <w:rFonts w:ascii="宋体" w:hAnsi="宋体" w:eastAsia="宋体" w:cs="仿宋_GB2312"/>
          <w:b/>
          <w:kern w:val="0"/>
          <w:sz w:val="36"/>
          <w:szCs w:val="36"/>
          <w:lang w:val="zh-CN"/>
        </w:rPr>
      </w:pPr>
    </w:p>
    <w:p w14:paraId="0E5E22D7">
      <w:pPr>
        <w:pStyle w:val="50"/>
        <w:rPr>
          <w:rFonts w:ascii="宋体" w:hAnsi="宋体" w:eastAsia="宋体" w:cs="仿宋_GB2312"/>
          <w:b/>
          <w:kern w:val="0"/>
          <w:sz w:val="36"/>
          <w:szCs w:val="36"/>
          <w:lang w:val="zh-CN"/>
        </w:rPr>
      </w:pPr>
    </w:p>
    <w:p w14:paraId="4C6B3865">
      <w:pPr>
        <w:pStyle w:val="50"/>
        <w:rPr>
          <w:rFonts w:ascii="宋体" w:hAnsi="宋体" w:eastAsia="宋体" w:cs="仿宋_GB2312"/>
          <w:b/>
          <w:kern w:val="0"/>
          <w:sz w:val="36"/>
          <w:szCs w:val="36"/>
          <w:lang w:val="zh-CN"/>
        </w:rPr>
      </w:pPr>
    </w:p>
    <w:p w14:paraId="485F4D90">
      <w:pPr>
        <w:pStyle w:val="50"/>
        <w:rPr>
          <w:rFonts w:ascii="宋体" w:hAnsi="宋体" w:eastAsia="宋体" w:cs="仿宋_GB2312"/>
          <w:b/>
          <w:kern w:val="0"/>
          <w:sz w:val="36"/>
          <w:szCs w:val="36"/>
          <w:lang w:val="zh-CN"/>
        </w:rPr>
      </w:pPr>
    </w:p>
    <w:p w14:paraId="0B2F631C">
      <w:pPr>
        <w:pStyle w:val="50"/>
        <w:rPr>
          <w:rFonts w:ascii="宋体" w:hAnsi="宋体" w:eastAsia="宋体" w:cs="仿宋_GB2312"/>
          <w:b/>
          <w:kern w:val="0"/>
          <w:sz w:val="36"/>
          <w:szCs w:val="36"/>
          <w:lang w:val="zh-CN"/>
        </w:rPr>
      </w:pPr>
    </w:p>
    <w:p w14:paraId="33F9DBD3">
      <w:pPr>
        <w:pStyle w:val="50"/>
        <w:jc w:val="center"/>
        <w:outlineLvl w:val="0"/>
        <w:rPr>
          <w:rFonts w:ascii="宋体" w:hAnsi="宋体" w:eastAsia="宋体" w:cs="仿宋_GB2312"/>
          <w:b/>
          <w:kern w:val="0"/>
          <w:sz w:val="36"/>
          <w:szCs w:val="36"/>
          <w:lang w:val="zh-CN"/>
        </w:rPr>
      </w:pPr>
      <w:bookmarkStart w:id="37" w:name="_Toc103723528"/>
      <w:r>
        <w:rPr>
          <w:rFonts w:hint="eastAsia" w:ascii="宋体" w:hAnsi="宋体" w:eastAsia="宋体" w:cs="仿宋_GB2312"/>
          <w:b/>
          <w:kern w:val="0"/>
          <w:sz w:val="36"/>
          <w:szCs w:val="36"/>
          <w:lang w:val="zh-CN"/>
        </w:rPr>
        <w:t>第五章</w:t>
      </w:r>
      <w:r>
        <w:rPr>
          <w:rFonts w:ascii="宋体" w:hAnsi="宋体" w:eastAsia="宋体" w:cs="仿宋_GB2312"/>
          <w:b/>
          <w:kern w:val="0"/>
          <w:sz w:val="36"/>
          <w:szCs w:val="36"/>
          <w:lang w:val="zh-CN"/>
        </w:rPr>
        <w:br w:type="textWrapping"/>
      </w:r>
      <w:r>
        <w:rPr>
          <w:rFonts w:ascii="宋体" w:hAnsi="宋体" w:eastAsia="宋体" w:cs="仿宋_GB2312"/>
          <w:b/>
          <w:kern w:val="0"/>
          <w:sz w:val="36"/>
          <w:szCs w:val="36"/>
          <w:lang w:val="zh-CN"/>
        </w:rPr>
        <w:br w:type="textWrapping"/>
      </w:r>
      <w:r>
        <w:rPr>
          <w:rFonts w:hint="eastAsia" w:ascii="宋体" w:hAnsi="宋体" w:eastAsia="宋体" w:cs="仿宋_GB2312"/>
          <w:b/>
          <w:kern w:val="0"/>
          <w:sz w:val="36"/>
          <w:szCs w:val="36"/>
          <w:lang w:val="zh-CN"/>
        </w:rPr>
        <w:t>评审办法</w:t>
      </w:r>
      <w:bookmarkEnd w:id="37"/>
    </w:p>
    <w:p w14:paraId="1372FF67">
      <w:pPr>
        <w:pStyle w:val="50"/>
        <w:spacing w:line="360" w:lineRule="auto"/>
        <w:ind w:firstLine="480" w:firstLineChars="200"/>
        <w:rPr>
          <w:rFonts w:ascii="宋体" w:hAnsi="宋体" w:eastAsia="宋体" w:cs="仿宋_GB2312"/>
          <w:kern w:val="0"/>
          <w:sz w:val="24"/>
          <w:lang w:val="zh-CN"/>
        </w:rPr>
      </w:pPr>
    </w:p>
    <w:p w14:paraId="3DBCCC6A">
      <w:pPr>
        <w:pStyle w:val="50"/>
        <w:spacing w:line="360" w:lineRule="auto"/>
        <w:ind w:firstLine="480" w:firstLineChars="200"/>
        <w:rPr>
          <w:rFonts w:ascii="宋体" w:hAnsi="宋体" w:eastAsia="宋体" w:cs="仿宋_GB2312"/>
          <w:kern w:val="0"/>
          <w:sz w:val="24"/>
          <w:lang w:val="zh-CN"/>
        </w:rPr>
      </w:pPr>
    </w:p>
    <w:p w14:paraId="0EFAC89D">
      <w:pPr>
        <w:pStyle w:val="50"/>
        <w:spacing w:line="360" w:lineRule="auto"/>
        <w:ind w:firstLine="480" w:firstLineChars="200"/>
        <w:rPr>
          <w:rFonts w:ascii="宋体" w:hAnsi="宋体" w:eastAsia="宋体" w:cs="仿宋_GB2312"/>
          <w:kern w:val="0"/>
          <w:sz w:val="24"/>
          <w:lang w:val="zh-CN"/>
        </w:rPr>
      </w:pPr>
    </w:p>
    <w:p w14:paraId="45EEFB2A">
      <w:pPr>
        <w:pStyle w:val="50"/>
        <w:spacing w:line="360" w:lineRule="auto"/>
        <w:ind w:firstLine="480" w:firstLineChars="200"/>
        <w:rPr>
          <w:rFonts w:ascii="宋体" w:hAnsi="宋体" w:eastAsia="宋体" w:cs="仿宋_GB2312"/>
          <w:kern w:val="0"/>
          <w:sz w:val="24"/>
          <w:lang w:val="zh-CN"/>
        </w:rPr>
      </w:pPr>
    </w:p>
    <w:p w14:paraId="7C2642B6">
      <w:pPr>
        <w:pStyle w:val="50"/>
        <w:spacing w:line="360" w:lineRule="auto"/>
        <w:ind w:firstLine="480" w:firstLineChars="200"/>
        <w:rPr>
          <w:rFonts w:ascii="宋体" w:hAnsi="宋体" w:eastAsia="宋体" w:cs="仿宋_GB2312"/>
          <w:kern w:val="0"/>
          <w:sz w:val="24"/>
          <w:lang w:val="zh-CN"/>
        </w:rPr>
      </w:pPr>
    </w:p>
    <w:p w14:paraId="62DA32C1">
      <w:pPr>
        <w:pStyle w:val="50"/>
        <w:spacing w:line="360" w:lineRule="auto"/>
        <w:ind w:firstLine="480" w:firstLineChars="200"/>
        <w:rPr>
          <w:rFonts w:ascii="宋体" w:hAnsi="宋体" w:eastAsia="宋体" w:cs="仿宋_GB2312"/>
          <w:kern w:val="0"/>
          <w:sz w:val="24"/>
          <w:lang w:val="zh-CN"/>
        </w:rPr>
      </w:pPr>
    </w:p>
    <w:p w14:paraId="67DA1304">
      <w:pPr>
        <w:pStyle w:val="50"/>
        <w:spacing w:line="360" w:lineRule="auto"/>
        <w:ind w:firstLine="480" w:firstLineChars="200"/>
        <w:rPr>
          <w:rFonts w:ascii="宋体" w:hAnsi="宋体" w:eastAsia="宋体" w:cs="仿宋_GB2312"/>
          <w:kern w:val="0"/>
          <w:sz w:val="24"/>
          <w:lang w:val="zh-CN"/>
        </w:rPr>
      </w:pPr>
    </w:p>
    <w:p w14:paraId="341878CA">
      <w:pPr>
        <w:pStyle w:val="50"/>
        <w:spacing w:line="360" w:lineRule="auto"/>
        <w:ind w:firstLine="480" w:firstLineChars="200"/>
        <w:rPr>
          <w:rFonts w:ascii="宋体" w:hAnsi="宋体" w:eastAsia="宋体" w:cs="仿宋_GB2312"/>
          <w:kern w:val="0"/>
          <w:sz w:val="24"/>
          <w:lang w:val="zh-CN"/>
        </w:rPr>
      </w:pPr>
    </w:p>
    <w:p w14:paraId="29DEAC49">
      <w:pPr>
        <w:pStyle w:val="50"/>
        <w:spacing w:line="360" w:lineRule="auto"/>
        <w:ind w:firstLine="480" w:firstLineChars="200"/>
        <w:rPr>
          <w:rFonts w:ascii="宋体" w:hAnsi="宋体" w:eastAsia="宋体" w:cs="仿宋_GB2312"/>
          <w:kern w:val="0"/>
          <w:sz w:val="24"/>
          <w:lang w:val="zh-CN"/>
        </w:rPr>
      </w:pPr>
    </w:p>
    <w:p w14:paraId="5E842A42">
      <w:pPr>
        <w:pStyle w:val="50"/>
        <w:spacing w:line="360" w:lineRule="auto"/>
        <w:ind w:firstLine="480" w:firstLineChars="200"/>
        <w:rPr>
          <w:rFonts w:ascii="宋体" w:hAnsi="宋体" w:eastAsia="宋体" w:cs="仿宋_GB2312"/>
          <w:kern w:val="0"/>
          <w:sz w:val="24"/>
          <w:lang w:val="zh-CN"/>
        </w:rPr>
      </w:pPr>
    </w:p>
    <w:p w14:paraId="0F561998">
      <w:pPr>
        <w:pStyle w:val="50"/>
        <w:spacing w:line="360" w:lineRule="auto"/>
        <w:ind w:firstLine="480" w:firstLineChars="200"/>
        <w:rPr>
          <w:rFonts w:ascii="宋体" w:hAnsi="宋体" w:eastAsia="宋体" w:cs="仿宋_GB2312"/>
          <w:kern w:val="0"/>
          <w:sz w:val="24"/>
          <w:lang w:val="zh-CN"/>
        </w:rPr>
      </w:pPr>
    </w:p>
    <w:p w14:paraId="75209A1B">
      <w:pPr>
        <w:pStyle w:val="50"/>
        <w:spacing w:line="360" w:lineRule="auto"/>
        <w:ind w:firstLine="480" w:firstLineChars="200"/>
        <w:rPr>
          <w:rFonts w:ascii="宋体" w:hAnsi="宋体" w:eastAsia="宋体" w:cs="仿宋_GB2312"/>
          <w:kern w:val="0"/>
          <w:sz w:val="24"/>
          <w:lang w:val="zh-CN"/>
        </w:rPr>
      </w:pPr>
    </w:p>
    <w:p w14:paraId="7EC4FF5B">
      <w:pPr>
        <w:pStyle w:val="50"/>
        <w:spacing w:line="360" w:lineRule="auto"/>
        <w:ind w:firstLine="480" w:firstLineChars="200"/>
        <w:rPr>
          <w:rFonts w:ascii="宋体" w:hAnsi="宋体" w:eastAsia="宋体" w:cs="仿宋_GB2312"/>
          <w:kern w:val="0"/>
          <w:sz w:val="24"/>
          <w:lang w:val="zh-CN"/>
        </w:rPr>
      </w:pPr>
    </w:p>
    <w:p w14:paraId="66854882">
      <w:pPr>
        <w:pStyle w:val="50"/>
        <w:spacing w:line="360" w:lineRule="auto"/>
        <w:rPr>
          <w:rFonts w:ascii="宋体" w:hAnsi="宋体" w:eastAsia="宋体" w:cs="仿宋_GB2312"/>
          <w:kern w:val="0"/>
          <w:sz w:val="24"/>
          <w:lang w:val="zh-CN"/>
        </w:rPr>
      </w:pPr>
    </w:p>
    <w:p w14:paraId="223B8635">
      <w:pPr>
        <w:widowControl/>
        <w:jc w:val="left"/>
        <w:rPr>
          <w:rFonts w:ascii="宋体" w:hAnsi="宋体" w:cs="仿宋_GB2312"/>
          <w:b/>
          <w:kern w:val="0"/>
          <w:sz w:val="28"/>
          <w:szCs w:val="28"/>
          <w:lang w:val="zh-CN"/>
        </w:rPr>
      </w:pPr>
      <w:r>
        <w:rPr>
          <w:rFonts w:ascii="宋体" w:hAnsi="宋体" w:cs="仿宋_GB2312"/>
          <w:b/>
          <w:kern w:val="0"/>
          <w:sz w:val="28"/>
          <w:szCs w:val="28"/>
          <w:lang w:val="zh-CN"/>
        </w:rPr>
        <w:br w:type="page"/>
      </w:r>
    </w:p>
    <w:p w14:paraId="60987711">
      <w:pPr>
        <w:pStyle w:val="50"/>
        <w:spacing w:line="360" w:lineRule="auto"/>
        <w:ind w:firstLine="562" w:firstLineChars="200"/>
        <w:jc w:val="center"/>
        <w:rPr>
          <w:rFonts w:ascii="宋体" w:hAnsi="宋体" w:eastAsia="宋体" w:cs="仿宋_GB2312"/>
          <w:b/>
          <w:kern w:val="0"/>
          <w:sz w:val="28"/>
          <w:szCs w:val="28"/>
          <w:lang w:val="zh-CN"/>
        </w:rPr>
      </w:pPr>
      <w:r>
        <w:rPr>
          <w:rFonts w:hint="eastAsia" w:ascii="宋体" w:hAnsi="宋体" w:eastAsia="宋体" w:cs="仿宋_GB2312"/>
          <w:b/>
          <w:kern w:val="0"/>
          <w:sz w:val="28"/>
          <w:szCs w:val="28"/>
          <w:lang w:val="zh-CN"/>
        </w:rPr>
        <w:t>评审办法</w:t>
      </w:r>
    </w:p>
    <w:p w14:paraId="541CC2E2">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一、评审标准和方法的制定依据</w:t>
      </w:r>
    </w:p>
    <w:p w14:paraId="6E6D2DAB">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按照《中华人民共和国政府采购法》、《政府采购货物和服务招标投标管理办法》的有关规定，遵循公开、公平、公正的原则，结合本项目的实际情况，制定长春净月高新技术产业开发区教育局2025年薄弱环节改善采购项目评审办法。</w:t>
      </w:r>
    </w:p>
    <w:p w14:paraId="6D7DE397">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二、评审机构</w:t>
      </w:r>
    </w:p>
    <w:p w14:paraId="11911C68">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为依法组建的谈判小组，谈判小组成员由具有高级职称或具有同等专业水平的相关专家组成。与采购项目有直接利害关系或与响应谈判供应商有任何利害关系的专家，不得进入本项目的评审小组。评审小组成员名单在成交结果确定前应当保密。</w:t>
      </w:r>
    </w:p>
    <w:p w14:paraId="06FB81B3">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三、评审原则</w:t>
      </w:r>
    </w:p>
    <w:p w14:paraId="79AB612D">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评审工作严格按照评审标准和方法规定的内容，遵循公平、公正、科学、择优的原则评审，选定成交供应商。</w:t>
      </w:r>
    </w:p>
    <w:p w14:paraId="3EBC018B">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四、评审程序</w:t>
      </w:r>
    </w:p>
    <w:p w14:paraId="4D94179F">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 xml:space="preserve">初步评审、竞争性谈判和最终报价。 </w:t>
      </w:r>
    </w:p>
    <w:p w14:paraId="455B1EB4">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五、评审标准：</w:t>
      </w:r>
    </w:p>
    <w:p w14:paraId="53B5C777">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1</w:t>
      </w:r>
      <w:r>
        <w:rPr>
          <w:rFonts w:hint="eastAsia" w:ascii="宋体" w:hAnsi="宋体" w:eastAsia="宋体" w:cs="仿宋_GB2312"/>
          <w:kern w:val="0"/>
          <w:sz w:val="24"/>
          <w:lang w:val="zh-CN"/>
        </w:rPr>
        <w:t>.</w:t>
      </w:r>
      <w:r>
        <w:rPr>
          <w:rFonts w:hint="eastAsia" w:ascii="宋体" w:hAnsi="宋体" w:eastAsia="宋体" w:cs="仿宋_GB2312"/>
          <w:b/>
          <w:kern w:val="0"/>
          <w:sz w:val="24"/>
          <w:lang w:val="zh-CN"/>
        </w:rPr>
        <w:t>初步评审</w:t>
      </w:r>
    </w:p>
    <w:p w14:paraId="7FB20588">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.1</w:t>
      </w:r>
      <w:r>
        <w:rPr>
          <w:rFonts w:hint="eastAsia" w:ascii="宋体" w:hAnsi="宋体" w:eastAsia="宋体" w:cs="仿宋_GB2312"/>
          <w:bCs/>
          <w:kern w:val="0"/>
          <w:sz w:val="24"/>
          <w:lang w:val="zh-CN"/>
        </w:rPr>
        <w:t>资格评审标准</w:t>
      </w:r>
    </w:p>
    <w:p w14:paraId="6B8B226C">
      <w:pPr>
        <w:pStyle w:val="50"/>
        <w:spacing w:line="360" w:lineRule="auto"/>
        <w:ind w:firstLine="480" w:firstLineChars="200"/>
        <w:rPr>
          <w:rFonts w:ascii="宋体" w:hAnsi="宋体" w:eastAsia="宋体" w:cs="仿宋_GB2312"/>
          <w:bCs/>
          <w:kern w:val="0"/>
          <w:sz w:val="24"/>
          <w:lang w:val="zh-CN"/>
        </w:rPr>
      </w:pPr>
      <w:bookmarkStart w:id="38" w:name="OLE_LINK13"/>
      <w:r>
        <w:rPr>
          <w:rFonts w:hint="eastAsia" w:ascii="宋体" w:hAnsi="宋体" w:eastAsia="宋体" w:cs="仿宋_GB2312"/>
          <w:bCs/>
          <w:kern w:val="0"/>
          <w:sz w:val="24"/>
          <w:lang w:val="zh-CN"/>
        </w:rPr>
        <w:t>1</w:t>
      </w:r>
      <w:r>
        <w:rPr>
          <w:rFonts w:ascii="宋体" w:hAnsi="宋体" w:eastAsia="宋体" w:cs="仿宋_GB2312"/>
          <w:bCs/>
          <w:kern w:val="0"/>
          <w:sz w:val="24"/>
          <w:lang w:val="zh-CN"/>
        </w:rPr>
        <w:t>.1.1</w:t>
      </w:r>
      <w:r>
        <w:rPr>
          <w:rFonts w:hint="eastAsia" w:ascii="宋体" w:hAnsi="宋体" w:eastAsia="宋体" w:cs="仿宋_GB2312"/>
          <w:bCs/>
          <w:kern w:val="0"/>
          <w:sz w:val="24"/>
          <w:lang w:val="zh-CN"/>
        </w:rPr>
        <w:t>响应谈判供应商应具备有效的营业执照；</w:t>
      </w:r>
    </w:p>
    <w:bookmarkEnd w:id="38"/>
    <w:p w14:paraId="53B4785A">
      <w:pPr>
        <w:pStyle w:val="50"/>
        <w:spacing w:line="360" w:lineRule="auto"/>
        <w:ind w:firstLine="480" w:firstLineChars="200"/>
        <w:rPr>
          <w:rFonts w:ascii="宋体" w:hAnsi="宋体" w:eastAsia="宋体" w:cs="仿宋_GB2312"/>
          <w:bCs/>
          <w:kern w:val="0"/>
          <w:sz w:val="24"/>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1</w:t>
      </w:r>
      <w:r>
        <w:rPr>
          <w:rFonts w:hint="eastAsia" w:ascii="宋体" w:hAnsi="宋体" w:eastAsia="宋体" w:cs="仿宋_GB2312"/>
          <w:bCs/>
          <w:kern w:val="0"/>
          <w:sz w:val="24"/>
          <w:lang w:val="zh-CN"/>
        </w:rPr>
        <w:t>.</w:t>
      </w:r>
      <w:r>
        <w:rPr>
          <w:rFonts w:ascii="宋体" w:hAnsi="宋体" w:eastAsia="宋体" w:cs="仿宋_GB2312"/>
          <w:bCs/>
          <w:kern w:val="0"/>
          <w:sz w:val="24"/>
          <w:lang w:val="zh-CN"/>
        </w:rPr>
        <w:t>2</w:t>
      </w:r>
      <w:bookmarkStart w:id="39" w:name="OLE_LINK25"/>
      <w:r>
        <w:rPr>
          <w:rFonts w:hint="eastAsia" w:ascii="宋体" w:hAnsi="宋体" w:eastAsia="宋体" w:cs="仿宋_GB2312"/>
          <w:bCs/>
          <w:kern w:val="0"/>
          <w:sz w:val="24"/>
          <w:lang w:val="zh-CN"/>
        </w:rPr>
        <w:t>法定代表人授权书、被授权委托人身份证、</w:t>
      </w:r>
      <w:bookmarkStart w:id="40" w:name="OLE_LINK24"/>
      <w:bookmarkStart w:id="41" w:name="OLE_LINK23"/>
      <w:r>
        <w:rPr>
          <w:rFonts w:hint="eastAsia" w:ascii="宋体" w:hAnsi="宋体" w:eastAsia="宋体" w:cs="仿宋_GB2312"/>
          <w:bCs/>
          <w:kern w:val="0"/>
          <w:sz w:val="24"/>
          <w:lang w:val="zh-CN"/>
        </w:rPr>
        <w:t>被授权委托人社会保险参保证明</w:t>
      </w:r>
      <w:bookmarkEnd w:id="40"/>
      <w:bookmarkEnd w:id="41"/>
      <w:r>
        <w:rPr>
          <w:rFonts w:hint="eastAsia" w:ascii="宋体" w:hAnsi="宋体" w:eastAsia="宋体" w:cs="仿宋_GB2312"/>
          <w:bCs/>
          <w:kern w:val="0"/>
          <w:sz w:val="24"/>
          <w:lang w:val="zh-CN"/>
        </w:rPr>
        <w:t>；响应谈判供应商代表为法定代表人的提交法定代表人资格证明书及法定代表人身份证；</w:t>
      </w:r>
      <w:bookmarkEnd w:id="39"/>
    </w:p>
    <w:p w14:paraId="4D79FCEC">
      <w:pPr>
        <w:pStyle w:val="50"/>
        <w:spacing w:line="360" w:lineRule="auto"/>
        <w:ind w:firstLine="480" w:firstLineChars="200"/>
        <w:rPr>
          <w:rFonts w:ascii="宋体" w:hAnsi="宋体" w:eastAsia="宋体" w:cs="仿宋_GB2312"/>
          <w:bCs/>
          <w:kern w:val="0"/>
          <w:sz w:val="24"/>
        </w:rPr>
      </w:pPr>
      <w:r>
        <w:rPr>
          <w:rFonts w:hint="eastAsia" w:ascii="宋体" w:hAnsi="宋体" w:eastAsia="宋体" w:cs="仿宋_GB2312"/>
          <w:bCs/>
          <w:kern w:val="0"/>
          <w:sz w:val="24"/>
        </w:rPr>
        <w:t>1.</w:t>
      </w:r>
      <w:r>
        <w:rPr>
          <w:rFonts w:ascii="宋体" w:hAnsi="宋体" w:eastAsia="宋体" w:cs="仿宋_GB2312"/>
          <w:bCs/>
          <w:kern w:val="0"/>
          <w:sz w:val="24"/>
        </w:rPr>
        <w:t>1</w:t>
      </w:r>
      <w:r>
        <w:rPr>
          <w:rFonts w:hint="eastAsia" w:ascii="宋体" w:hAnsi="宋体" w:eastAsia="宋体" w:cs="仿宋_GB2312"/>
          <w:bCs/>
          <w:kern w:val="0"/>
          <w:sz w:val="24"/>
        </w:rPr>
        <w:t>.3</w:t>
      </w:r>
      <w:r>
        <w:rPr>
          <w:rFonts w:hint="eastAsia" w:ascii="宋体" w:hAnsi="宋体" w:eastAsia="宋体" w:cs="仿宋_GB2312"/>
          <w:bCs/>
          <w:kern w:val="0"/>
          <w:sz w:val="24"/>
          <w:lang w:val="zh-CN"/>
        </w:rPr>
        <w:t>资格条件</w:t>
      </w:r>
      <w:r>
        <w:rPr>
          <w:rFonts w:ascii="宋体" w:hAnsi="宋体" w:eastAsia="宋体" w:cs="仿宋_GB2312"/>
          <w:bCs/>
          <w:kern w:val="0"/>
          <w:sz w:val="24"/>
          <w:lang w:val="zh-CN"/>
        </w:rPr>
        <w:t>承诺函</w:t>
      </w:r>
      <w:r>
        <w:rPr>
          <w:rFonts w:hint="eastAsia" w:ascii="宋体" w:hAnsi="宋体" w:eastAsia="宋体" w:cs="仿宋_GB2312"/>
          <w:bCs/>
          <w:kern w:val="0"/>
          <w:sz w:val="24"/>
        </w:rPr>
        <w:t>；</w:t>
      </w:r>
    </w:p>
    <w:p w14:paraId="5BE8B69C">
      <w:pPr>
        <w:pStyle w:val="50"/>
        <w:spacing w:line="360" w:lineRule="auto"/>
        <w:ind w:firstLine="480" w:firstLineChars="200"/>
        <w:rPr>
          <w:rFonts w:ascii="宋体" w:hAnsi="宋体" w:eastAsia="宋体" w:cs="仿宋_GB2312"/>
          <w:bCs/>
          <w:kern w:val="0"/>
          <w:sz w:val="24"/>
        </w:rPr>
      </w:pPr>
      <w:r>
        <w:rPr>
          <w:rFonts w:ascii="宋体" w:hAnsi="宋体" w:eastAsia="宋体" w:cs="仿宋_GB2312"/>
          <w:bCs/>
          <w:kern w:val="0"/>
          <w:sz w:val="24"/>
        </w:rPr>
        <w:t>1.1.</w:t>
      </w:r>
      <w:r>
        <w:rPr>
          <w:rFonts w:hint="eastAsia" w:ascii="宋体" w:hAnsi="宋体" w:eastAsia="宋体" w:cs="仿宋_GB2312"/>
          <w:bCs/>
          <w:kern w:val="0"/>
          <w:sz w:val="24"/>
        </w:rPr>
        <w:t>4“</w:t>
      </w:r>
      <w:r>
        <w:rPr>
          <w:rFonts w:hint="eastAsia" w:ascii="宋体" w:hAnsi="宋体" w:eastAsia="宋体" w:cs="仿宋_GB2312"/>
          <w:bCs/>
          <w:kern w:val="0"/>
          <w:sz w:val="24"/>
          <w:lang w:val="zh-CN"/>
        </w:rPr>
        <w:t>信用中国</w:t>
      </w:r>
      <w:r>
        <w:rPr>
          <w:rFonts w:hint="eastAsia" w:ascii="宋体" w:hAnsi="宋体" w:eastAsia="宋体" w:cs="仿宋_GB2312"/>
          <w:bCs/>
          <w:kern w:val="0"/>
          <w:sz w:val="24"/>
        </w:rPr>
        <w:t>”</w:t>
      </w:r>
      <w:r>
        <w:rPr>
          <w:rFonts w:hint="eastAsia" w:ascii="宋体" w:hAnsi="宋体" w:eastAsia="宋体" w:cs="仿宋_GB2312"/>
          <w:bCs/>
          <w:kern w:val="0"/>
          <w:sz w:val="24"/>
          <w:lang w:val="zh-CN"/>
        </w:rPr>
        <w:t>网站</w:t>
      </w:r>
      <w:r>
        <w:rPr>
          <w:rFonts w:hint="eastAsia" w:ascii="宋体" w:hAnsi="宋体" w:eastAsia="宋体" w:cs="仿宋_GB2312"/>
          <w:bCs/>
          <w:kern w:val="0"/>
          <w:sz w:val="24"/>
        </w:rPr>
        <w:t>（www.creditchina.gov.cn）</w:t>
      </w:r>
      <w:r>
        <w:rPr>
          <w:rFonts w:hint="eastAsia" w:ascii="宋体" w:hAnsi="宋体" w:eastAsia="宋体" w:cs="仿宋_GB2312"/>
          <w:bCs/>
          <w:kern w:val="0"/>
          <w:sz w:val="24"/>
          <w:lang w:val="zh-CN"/>
        </w:rPr>
        <w:t>、中国政府采购网</w:t>
      </w:r>
      <w:r>
        <w:rPr>
          <w:rFonts w:hint="eastAsia" w:ascii="宋体" w:hAnsi="宋体" w:eastAsia="宋体" w:cs="仿宋_GB2312"/>
          <w:bCs/>
          <w:kern w:val="0"/>
          <w:sz w:val="24"/>
        </w:rPr>
        <w:t>（www.ccgp.gov.cn）</w:t>
      </w:r>
      <w:r>
        <w:rPr>
          <w:rFonts w:hint="eastAsia" w:ascii="宋体" w:hAnsi="宋体" w:eastAsia="宋体" w:cs="仿宋_GB2312"/>
          <w:bCs/>
          <w:kern w:val="0"/>
          <w:sz w:val="24"/>
          <w:lang w:val="zh-CN"/>
        </w:rPr>
        <w:t>没有失信行为的证明材料</w:t>
      </w:r>
      <w:r>
        <w:rPr>
          <w:rFonts w:hint="eastAsia" w:ascii="宋体" w:hAnsi="宋体" w:eastAsia="宋体" w:cs="仿宋_GB2312"/>
          <w:bCs/>
          <w:kern w:val="0"/>
          <w:sz w:val="24"/>
        </w:rPr>
        <w:t>；</w:t>
      </w:r>
    </w:p>
    <w:p w14:paraId="09B26674">
      <w:pPr>
        <w:pStyle w:val="50"/>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1.1.</w:t>
      </w:r>
      <w:r>
        <w:rPr>
          <w:rFonts w:hint="eastAsia" w:ascii="宋体" w:hAnsi="宋体" w:eastAsia="宋体" w:cs="仿宋_GB2312"/>
          <w:bCs/>
          <w:kern w:val="0"/>
          <w:sz w:val="24"/>
        </w:rPr>
        <w:t>5</w:t>
      </w:r>
      <w:r>
        <w:rPr>
          <w:rFonts w:hint="eastAsia" w:ascii="宋体" w:hAnsi="宋体" w:eastAsia="宋体" w:cs="仿宋_GB2312"/>
          <w:bCs/>
          <w:kern w:val="0"/>
          <w:sz w:val="24"/>
          <w:lang w:val="zh-CN"/>
        </w:rPr>
        <w:t>响应谈判供应商2023年至今在经营活动中没有重大违法记录的书面声明，同时须附“中国裁判文书网”（wenshu.court.gov.cn）无行贿犯罪查询结果的证明材料。</w:t>
      </w:r>
    </w:p>
    <w:p w14:paraId="1C111336">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w:t>
      </w:r>
      <w:r>
        <w:rPr>
          <w:rFonts w:hint="eastAsia" w:ascii="宋体" w:hAnsi="宋体" w:eastAsia="宋体" w:cs="仿宋_GB2312"/>
          <w:bCs/>
          <w:kern w:val="0"/>
          <w:sz w:val="24"/>
          <w:lang w:val="zh-CN"/>
        </w:rPr>
        <w:t>符合性评审标准</w:t>
      </w:r>
    </w:p>
    <w:p w14:paraId="561AB264">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.2.1</w:t>
      </w:r>
      <w:r>
        <w:rPr>
          <w:rFonts w:hint="eastAsia" w:ascii="宋体" w:hAnsi="宋体" w:eastAsia="宋体" w:cs="仿宋_GB2312"/>
          <w:bCs/>
          <w:kern w:val="0"/>
          <w:sz w:val="24"/>
          <w:lang w:val="zh-CN"/>
        </w:rPr>
        <w:t>响应谈判供应商名称应与营业执照一致；</w:t>
      </w:r>
    </w:p>
    <w:p w14:paraId="593A93DF">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.2.2</w:t>
      </w:r>
      <w:r>
        <w:rPr>
          <w:rFonts w:hint="eastAsia" w:ascii="宋体" w:hAnsi="宋体" w:eastAsia="宋体" w:cs="仿宋_GB2312"/>
          <w:bCs/>
          <w:kern w:val="0"/>
          <w:sz w:val="24"/>
          <w:lang w:val="zh-CN"/>
        </w:rPr>
        <w:t>谈判响应文件应按照谈判文件要求由法定代表人或其授权委托人签署；</w:t>
      </w:r>
    </w:p>
    <w:p w14:paraId="3747C148">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.2.3</w:t>
      </w:r>
      <w:r>
        <w:rPr>
          <w:rFonts w:hint="eastAsia" w:ascii="宋体" w:hAnsi="宋体" w:eastAsia="宋体" w:cs="仿宋_GB2312"/>
          <w:bCs/>
          <w:kern w:val="0"/>
          <w:sz w:val="24"/>
          <w:lang w:val="zh-CN"/>
        </w:rPr>
        <w:t>谈判响应文件应按照谈判文件第六章格式要求填写，无字迹模糊、辨认不清；</w:t>
      </w:r>
    </w:p>
    <w:p w14:paraId="56CEB6E1">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.2.4</w:t>
      </w:r>
      <w:r>
        <w:rPr>
          <w:rFonts w:hint="eastAsia" w:ascii="宋体" w:hAnsi="宋体" w:eastAsia="宋体" w:cs="仿宋_GB2312"/>
          <w:bCs/>
          <w:kern w:val="0"/>
          <w:sz w:val="24"/>
          <w:lang w:val="zh-CN"/>
        </w:rPr>
        <w:t>响应谈判供应商应按照项目要求进行报价，且只有一个有效报价；</w:t>
      </w:r>
    </w:p>
    <w:p w14:paraId="534AB9C4">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.2.5</w:t>
      </w:r>
      <w:r>
        <w:rPr>
          <w:rFonts w:hint="eastAsia" w:ascii="宋体" w:hAnsi="宋体" w:eastAsia="宋体" w:cs="仿宋_GB2312"/>
          <w:bCs/>
          <w:kern w:val="0"/>
          <w:sz w:val="24"/>
          <w:lang w:val="zh-CN"/>
        </w:rPr>
        <w:t>谈判报价应不高于项目预算且不低于成本价（成本价由谈判小组认定）；</w:t>
      </w:r>
    </w:p>
    <w:p w14:paraId="74C580D9">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.2.6</w:t>
      </w:r>
      <w:r>
        <w:rPr>
          <w:rFonts w:hint="eastAsia" w:ascii="宋体" w:hAnsi="宋体" w:eastAsia="宋体" w:cs="仿宋_GB2312"/>
          <w:bCs/>
          <w:kern w:val="0"/>
          <w:sz w:val="24"/>
          <w:lang w:val="zh-CN"/>
        </w:rPr>
        <w:t>响应</w:t>
      </w:r>
      <w:r>
        <w:rPr>
          <w:rFonts w:ascii="宋体" w:hAnsi="宋体" w:eastAsia="宋体" w:cs="仿宋_GB2312"/>
          <w:bCs/>
          <w:kern w:val="0"/>
          <w:sz w:val="24"/>
          <w:lang w:val="zh-CN"/>
        </w:rPr>
        <w:t>货物</w:t>
      </w:r>
      <w:r>
        <w:rPr>
          <w:rFonts w:hint="eastAsia" w:ascii="宋体" w:hAnsi="宋体" w:eastAsia="宋体" w:cs="仿宋_GB2312"/>
          <w:bCs/>
          <w:kern w:val="0"/>
          <w:sz w:val="24"/>
          <w:lang w:val="zh-CN"/>
        </w:rPr>
        <w:t>应满足谈判文件第二章项目需求；</w:t>
      </w:r>
    </w:p>
    <w:p w14:paraId="57ECED35">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.2.7</w:t>
      </w:r>
      <w:bookmarkStart w:id="42" w:name="OLE_LINK15"/>
      <w:bookmarkStart w:id="43" w:name="OLE_LINK14"/>
      <w:r>
        <w:rPr>
          <w:rFonts w:hint="eastAsia" w:ascii="宋体" w:hAnsi="宋体" w:eastAsia="宋体" w:cs="仿宋_GB2312"/>
          <w:bCs/>
          <w:kern w:val="0"/>
          <w:sz w:val="24"/>
          <w:lang w:val="zh-CN"/>
        </w:rPr>
        <w:t>谈判响应文件应满足谈判文件其他实质性要求；</w:t>
      </w:r>
      <w:bookmarkEnd w:id="42"/>
      <w:bookmarkEnd w:id="43"/>
    </w:p>
    <w:p w14:paraId="3754E525">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1</w:t>
      </w:r>
      <w:r>
        <w:rPr>
          <w:rFonts w:ascii="宋体" w:hAnsi="宋体" w:eastAsia="宋体" w:cs="仿宋_GB2312"/>
          <w:kern w:val="0"/>
          <w:sz w:val="24"/>
          <w:lang w:val="zh-CN"/>
        </w:rPr>
        <w:t>.3</w:t>
      </w:r>
      <w:r>
        <w:rPr>
          <w:rFonts w:hint="eastAsia" w:ascii="宋体" w:hAnsi="宋体" w:eastAsia="宋体" w:cs="仿宋_GB2312"/>
          <w:kern w:val="0"/>
          <w:sz w:val="24"/>
          <w:lang w:val="zh-CN"/>
        </w:rPr>
        <w:t>上述要求响应谈判供应商有一项不合格的视为未通过初步评审，响应无效，将不再进入竞争性谈判和最终报价。</w:t>
      </w:r>
    </w:p>
    <w:p w14:paraId="4EE77C94">
      <w:pPr>
        <w:pStyle w:val="50"/>
        <w:spacing w:line="360" w:lineRule="auto"/>
        <w:ind w:firstLine="482" w:firstLineChars="200"/>
        <w:rPr>
          <w:rFonts w:ascii="宋体" w:hAnsi="宋体" w:eastAsia="宋体" w:cs="仿宋_GB2312"/>
          <w:b/>
          <w:kern w:val="0"/>
          <w:sz w:val="24"/>
          <w:lang w:val="zh-CN"/>
        </w:rPr>
      </w:pPr>
      <w:r>
        <w:rPr>
          <w:rFonts w:ascii="宋体" w:hAnsi="宋体" w:eastAsia="宋体" w:cs="仿宋_GB2312"/>
          <w:b/>
          <w:kern w:val="0"/>
          <w:sz w:val="24"/>
          <w:lang w:val="zh-CN"/>
        </w:rPr>
        <w:t>2.</w:t>
      </w:r>
      <w:r>
        <w:rPr>
          <w:rFonts w:hint="eastAsia" w:ascii="宋体" w:hAnsi="宋体" w:eastAsia="宋体" w:cs="仿宋_GB2312"/>
          <w:b/>
          <w:kern w:val="0"/>
          <w:sz w:val="24"/>
          <w:lang w:val="zh-CN"/>
        </w:rPr>
        <w:t>竞争性谈判和最终报价</w:t>
      </w:r>
    </w:p>
    <w:p w14:paraId="21A32630">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2.1谈判小组所有成员集中与响应谈判供应商分别进行谈判。谈判</w:t>
      </w:r>
      <w:r>
        <w:rPr>
          <w:rFonts w:ascii="宋体" w:hAnsi="宋体" w:eastAsia="宋体" w:cs="仿宋_GB2312"/>
          <w:kern w:val="0"/>
          <w:sz w:val="24"/>
          <w:lang w:val="zh-CN"/>
        </w:rPr>
        <w:t>小组将</w:t>
      </w:r>
      <w:r>
        <w:rPr>
          <w:rFonts w:hint="eastAsia" w:ascii="宋体" w:hAnsi="宋体" w:eastAsia="宋体" w:cs="仿宋_GB2312"/>
          <w:kern w:val="0"/>
          <w:sz w:val="24"/>
          <w:lang w:val="zh-CN"/>
        </w:rPr>
        <w:t>在</w:t>
      </w:r>
      <w:r>
        <w:rPr>
          <w:rFonts w:ascii="宋体" w:hAnsi="宋体" w:eastAsia="宋体" w:cs="仿宋_GB2312"/>
          <w:kern w:val="0"/>
          <w:sz w:val="24"/>
          <w:lang w:val="zh-CN"/>
        </w:rPr>
        <w:t>资格</w:t>
      </w:r>
      <w:r>
        <w:rPr>
          <w:rFonts w:hint="eastAsia" w:ascii="宋体" w:hAnsi="宋体" w:eastAsia="宋体" w:cs="仿宋_GB2312"/>
          <w:kern w:val="0"/>
          <w:sz w:val="24"/>
          <w:lang w:val="zh-CN"/>
        </w:rPr>
        <w:t>评审</w:t>
      </w:r>
      <w:r>
        <w:rPr>
          <w:rFonts w:ascii="宋体" w:hAnsi="宋体" w:eastAsia="宋体" w:cs="仿宋_GB2312"/>
          <w:kern w:val="0"/>
          <w:sz w:val="24"/>
          <w:lang w:val="zh-CN"/>
        </w:rPr>
        <w:t>和符合性</w:t>
      </w:r>
      <w:r>
        <w:rPr>
          <w:rFonts w:hint="eastAsia" w:ascii="宋体" w:hAnsi="宋体" w:eastAsia="宋体" w:cs="仿宋_GB2312"/>
          <w:kern w:val="0"/>
          <w:sz w:val="24"/>
          <w:lang w:val="zh-CN"/>
        </w:rPr>
        <w:t>评审结束后</w:t>
      </w:r>
      <w:r>
        <w:rPr>
          <w:rFonts w:ascii="宋体" w:hAnsi="宋体" w:eastAsia="宋体" w:cs="仿宋_GB2312"/>
          <w:kern w:val="0"/>
          <w:sz w:val="24"/>
          <w:lang w:val="zh-CN"/>
        </w:rPr>
        <w:t>，发起</w:t>
      </w:r>
      <w:r>
        <w:rPr>
          <w:rFonts w:hint="eastAsia" w:ascii="宋体" w:hAnsi="宋体" w:eastAsia="宋体" w:cs="仿宋_GB2312"/>
          <w:kern w:val="0"/>
          <w:sz w:val="24"/>
          <w:lang w:val="zh-CN"/>
        </w:rPr>
        <w:t>谈判邀请，响应</w:t>
      </w:r>
      <w:r>
        <w:rPr>
          <w:rFonts w:ascii="宋体" w:hAnsi="宋体" w:eastAsia="宋体" w:cs="仿宋_GB2312"/>
          <w:kern w:val="0"/>
          <w:sz w:val="24"/>
          <w:lang w:val="zh-CN"/>
        </w:rPr>
        <w:t>谈判供应商代表</w:t>
      </w:r>
      <w:r>
        <w:rPr>
          <w:rFonts w:hint="eastAsia" w:ascii="宋体" w:hAnsi="宋体" w:eastAsia="宋体" w:cs="仿宋_GB2312"/>
          <w:kern w:val="0"/>
          <w:sz w:val="24"/>
          <w:lang w:val="zh-CN"/>
        </w:rPr>
        <w:t>须在发起</w:t>
      </w:r>
      <w:r>
        <w:rPr>
          <w:rFonts w:ascii="宋体" w:hAnsi="宋体" w:eastAsia="宋体" w:cs="仿宋_GB2312"/>
          <w:kern w:val="0"/>
          <w:sz w:val="24"/>
          <w:lang w:val="zh-CN"/>
        </w:rPr>
        <w:t>谈判后在线上与谈判小组进行谈判</w:t>
      </w:r>
      <w:r>
        <w:rPr>
          <w:rFonts w:hint="eastAsia" w:ascii="宋体" w:hAnsi="宋体" w:eastAsia="宋体" w:cs="仿宋_GB2312"/>
          <w:kern w:val="0"/>
          <w:sz w:val="24"/>
          <w:lang w:val="zh-CN"/>
        </w:rPr>
        <w:t>，所有参加谈判的供应商在规定时间内进行最终报价，具体</w:t>
      </w:r>
      <w:r>
        <w:rPr>
          <w:rFonts w:ascii="宋体" w:hAnsi="宋体" w:eastAsia="宋体" w:cs="仿宋_GB2312"/>
          <w:kern w:val="0"/>
          <w:sz w:val="24"/>
          <w:lang w:val="zh-CN"/>
        </w:rPr>
        <w:t>时间见</w:t>
      </w:r>
      <w:r>
        <w:rPr>
          <w:rFonts w:hint="eastAsia" w:ascii="宋体" w:hAnsi="宋体" w:eastAsia="宋体" w:cs="仿宋_GB2312"/>
          <w:kern w:val="0"/>
          <w:sz w:val="24"/>
          <w:lang w:val="zh-CN"/>
        </w:rPr>
        <w:t>本</w:t>
      </w:r>
      <w:r>
        <w:rPr>
          <w:rFonts w:ascii="宋体" w:hAnsi="宋体" w:eastAsia="宋体" w:cs="仿宋_GB2312"/>
          <w:kern w:val="0"/>
          <w:sz w:val="24"/>
          <w:lang w:val="zh-CN"/>
        </w:rPr>
        <w:t>谈判文件第</w:t>
      </w:r>
      <w:r>
        <w:rPr>
          <w:rFonts w:hint="eastAsia" w:ascii="宋体" w:hAnsi="宋体" w:eastAsia="宋体" w:cs="仿宋_GB2312"/>
          <w:kern w:val="0"/>
          <w:sz w:val="24"/>
          <w:lang w:val="zh-CN"/>
        </w:rPr>
        <w:t>三章响应谈判供应商须知前附表。</w:t>
      </w:r>
    </w:p>
    <w:p w14:paraId="0AFCD2E9">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3.评定成交标准</w:t>
      </w:r>
    </w:p>
    <w:p w14:paraId="2033F576">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3.1本项目评审采用最低评审价法。</w:t>
      </w:r>
    </w:p>
    <w:p w14:paraId="045C67EB">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3.2谈判小组应当从质量和服务均能实质性满足谈判文件要求的供应商中，按照报价由低到高的顺序提出成交候选人。如出现响应</w:t>
      </w:r>
      <w:r>
        <w:rPr>
          <w:rFonts w:ascii="宋体" w:hAnsi="宋体" w:eastAsia="宋体" w:cs="仿宋_GB2312"/>
          <w:kern w:val="0"/>
          <w:sz w:val="24"/>
          <w:lang w:val="zh-CN"/>
        </w:rPr>
        <w:t>谈判</w:t>
      </w:r>
      <w:r>
        <w:rPr>
          <w:rFonts w:hint="eastAsia" w:ascii="宋体" w:hAnsi="宋体" w:eastAsia="宋体" w:cs="仿宋_GB2312"/>
          <w:kern w:val="0"/>
          <w:sz w:val="24"/>
          <w:lang w:val="zh-CN"/>
        </w:rPr>
        <w:t>供应商报价相同的情况，按技术指标优劣顺序排列，如出现技术指标相同，按服务优劣顺序排列，如以上均相同，按供应商确认参加谈判时间先后顺序排列。</w:t>
      </w:r>
    </w:p>
    <w:p w14:paraId="680B50C0">
      <w:pPr>
        <w:pStyle w:val="50"/>
        <w:spacing w:line="360" w:lineRule="auto"/>
        <w:ind w:firstLine="480" w:firstLineChars="200"/>
        <w:jc w:val="left"/>
        <w:rPr>
          <w:rStyle w:val="96"/>
          <w:rFonts w:ascii="宋体" w:hAnsi="宋体" w:eastAsia="宋体"/>
          <w:sz w:val="24"/>
          <w:szCs w:val="24"/>
          <w:shd w:val="clear" w:color="auto" w:fill="FFFFFF"/>
        </w:rPr>
      </w:pPr>
      <w:r>
        <w:rPr>
          <w:rFonts w:ascii="宋体" w:hAnsi="宋体" w:eastAsia="宋体" w:cs="仿宋_GB2312"/>
          <w:kern w:val="0"/>
          <w:sz w:val="24"/>
          <w:lang w:val="zh-CN"/>
        </w:rPr>
        <w:t>3.3</w:t>
      </w:r>
      <w:r>
        <w:rPr>
          <w:rStyle w:val="96"/>
          <w:rFonts w:ascii="宋体" w:hAnsi="宋体" w:eastAsia="宋体"/>
          <w:sz w:val="24"/>
          <w:szCs w:val="24"/>
          <w:shd w:val="clear" w:color="auto" w:fill="FFFFFF"/>
        </w:rPr>
        <w:t xml:space="preserve"> </w:t>
      </w:r>
      <w:r>
        <w:rPr>
          <w:rStyle w:val="96"/>
          <w:rFonts w:hint="eastAsia" w:ascii="宋体" w:hAnsi="宋体" w:eastAsia="宋体"/>
          <w:sz w:val="24"/>
          <w:szCs w:val="24"/>
          <w:shd w:val="clear" w:color="auto" w:fill="FFFFFF"/>
        </w:rPr>
        <w:t>价格扣除：对于非专门面向中小微企业采购的项目，按照《政府采购促进中小企业发展管理办法》规定，对小型和微型企业投标人产品的价格给予</w:t>
      </w:r>
      <w:r>
        <w:rPr>
          <w:rStyle w:val="96"/>
          <w:rFonts w:ascii="宋体" w:hAnsi="宋体" w:eastAsia="宋体"/>
          <w:sz w:val="24"/>
          <w:szCs w:val="24"/>
          <w:shd w:val="clear" w:color="auto" w:fill="FFFFFF"/>
        </w:rPr>
        <w:t>10</w:t>
      </w:r>
      <w:r>
        <w:rPr>
          <w:rStyle w:val="96"/>
          <w:rFonts w:hint="eastAsia" w:ascii="宋体" w:hAnsi="宋体" w:eastAsia="宋体"/>
          <w:sz w:val="24"/>
          <w:szCs w:val="24"/>
          <w:shd w:val="clear" w:color="auto" w:fill="FFFFFF"/>
        </w:rPr>
        <w:t>%的扣除，用扣除后的价格参与评审，中小企业应当按照本招标文件规定提供《中小微企业声明函》。小型、微型企业提供中型企业制造的货物的，视同中型企业；小型和微型企业产品包括货物及其提供的服务与工程，无法认定小型和微型企业的，不享受价格扣除；监狱企业视同小型、微型企业，监狱企业投标的提供由省级以上监狱管理局、戒毒管理局（含新疆生产建设兵团）出具的属于监狱企业的证明文件，不再提供《中小微企业声明函》；残疾人福利性单位视同小型、微型企业，残疾人福利性单位属于小型、微型企业的，不重复享受政策。符合条件的残疾人福利性单位在参加政府采购活动时，应当提供《残疾人福利性单位声明函》。</w:t>
      </w:r>
    </w:p>
    <w:p w14:paraId="1525C04D">
      <w:pPr>
        <w:spacing w:line="360" w:lineRule="auto"/>
        <w:ind w:firstLine="482" w:firstLineChars="200"/>
        <w:rPr>
          <w:rFonts w:ascii="宋体" w:hAnsi="宋体" w:cs="仿宋_GB2312"/>
          <w:b/>
          <w:kern w:val="0"/>
          <w:sz w:val="24"/>
          <w:lang w:val="zh-CN"/>
        </w:rPr>
      </w:pPr>
      <w:r>
        <w:rPr>
          <w:rFonts w:hint="eastAsia" w:ascii="宋体" w:hAnsi="宋体" w:cs="仿宋_GB2312"/>
          <w:b/>
          <w:kern w:val="0"/>
          <w:sz w:val="24"/>
          <w:lang w:val="zh-CN"/>
        </w:rPr>
        <w:t>六、确定成交供应商</w:t>
      </w:r>
    </w:p>
    <w:p w14:paraId="644F08B0">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sz w:val="24"/>
        </w:rPr>
        <w:t>采购人授权谈判小组从成交候选人中确定排名第一的为成交供应商,其最终报价为成交价格。</w:t>
      </w:r>
    </w:p>
    <w:p w14:paraId="470D230D">
      <w:pPr>
        <w:spacing w:line="360" w:lineRule="auto"/>
        <w:rPr>
          <w:rFonts w:ascii="宋体" w:hAnsi="宋体"/>
          <w:sz w:val="24"/>
        </w:rPr>
      </w:pPr>
    </w:p>
    <w:p w14:paraId="5E067EC4">
      <w:pPr>
        <w:widowControl/>
        <w:jc w:val="center"/>
        <w:rPr>
          <w:rFonts w:ascii="宋体" w:hAnsi="宋体"/>
          <w:b/>
          <w:sz w:val="36"/>
          <w:szCs w:val="36"/>
        </w:rPr>
      </w:pPr>
      <w:bookmarkStart w:id="44" w:name="_Toc103723529"/>
    </w:p>
    <w:p w14:paraId="3A3A0543">
      <w:pPr>
        <w:widowControl/>
        <w:jc w:val="center"/>
        <w:rPr>
          <w:rFonts w:ascii="宋体" w:hAnsi="宋体"/>
          <w:b/>
          <w:sz w:val="36"/>
          <w:szCs w:val="36"/>
        </w:rPr>
      </w:pPr>
    </w:p>
    <w:p w14:paraId="5EE8AFEF">
      <w:pPr>
        <w:widowControl/>
        <w:jc w:val="center"/>
        <w:rPr>
          <w:rFonts w:ascii="宋体" w:hAnsi="宋体"/>
          <w:b/>
          <w:sz w:val="36"/>
          <w:szCs w:val="36"/>
        </w:rPr>
      </w:pPr>
    </w:p>
    <w:p w14:paraId="1FB24070">
      <w:pPr>
        <w:widowControl/>
        <w:jc w:val="center"/>
        <w:rPr>
          <w:rFonts w:ascii="宋体" w:hAnsi="宋体"/>
          <w:b/>
          <w:sz w:val="36"/>
          <w:szCs w:val="36"/>
        </w:rPr>
      </w:pPr>
    </w:p>
    <w:p w14:paraId="145ECFA6">
      <w:pPr>
        <w:widowControl/>
        <w:jc w:val="center"/>
        <w:rPr>
          <w:rFonts w:ascii="宋体" w:hAnsi="宋体"/>
          <w:b/>
          <w:sz w:val="36"/>
          <w:szCs w:val="36"/>
        </w:rPr>
      </w:pPr>
    </w:p>
    <w:p w14:paraId="1450C74F">
      <w:pPr>
        <w:widowControl/>
        <w:jc w:val="center"/>
        <w:rPr>
          <w:rFonts w:ascii="宋体" w:hAnsi="宋体"/>
          <w:b/>
          <w:sz w:val="36"/>
          <w:szCs w:val="36"/>
        </w:rPr>
      </w:pPr>
    </w:p>
    <w:p w14:paraId="79FAD76B">
      <w:pPr>
        <w:widowControl/>
        <w:jc w:val="center"/>
        <w:rPr>
          <w:rFonts w:ascii="宋体" w:hAnsi="宋体"/>
          <w:b/>
          <w:sz w:val="36"/>
          <w:szCs w:val="36"/>
        </w:rPr>
      </w:pPr>
    </w:p>
    <w:p w14:paraId="27272D24">
      <w:pPr>
        <w:widowControl/>
        <w:jc w:val="center"/>
        <w:rPr>
          <w:rFonts w:ascii="宋体" w:hAnsi="宋体"/>
          <w:b/>
          <w:sz w:val="36"/>
          <w:szCs w:val="36"/>
        </w:rPr>
      </w:pPr>
    </w:p>
    <w:p w14:paraId="24FB8EED">
      <w:pPr>
        <w:widowControl/>
        <w:jc w:val="center"/>
        <w:rPr>
          <w:rFonts w:ascii="宋体" w:hAnsi="宋体"/>
          <w:b/>
          <w:sz w:val="36"/>
          <w:szCs w:val="36"/>
        </w:rPr>
      </w:pPr>
    </w:p>
    <w:p w14:paraId="61A6F38F">
      <w:pPr>
        <w:widowControl/>
        <w:jc w:val="center"/>
        <w:rPr>
          <w:rFonts w:ascii="宋体" w:hAnsi="宋体"/>
          <w:b/>
          <w:sz w:val="36"/>
          <w:szCs w:val="36"/>
        </w:rPr>
      </w:pPr>
    </w:p>
    <w:p w14:paraId="5CDAB081">
      <w:pPr>
        <w:widowControl/>
        <w:jc w:val="center"/>
        <w:rPr>
          <w:rFonts w:ascii="宋体" w:hAnsi="宋体"/>
          <w:b/>
          <w:sz w:val="36"/>
          <w:szCs w:val="36"/>
        </w:rPr>
      </w:pPr>
      <w:r>
        <w:rPr>
          <w:rFonts w:hint="eastAsia" w:ascii="宋体" w:hAnsi="宋体"/>
          <w:b/>
          <w:sz w:val="36"/>
          <w:szCs w:val="36"/>
        </w:rPr>
        <w:t>第六章</w:t>
      </w:r>
      <w:r>
        <w:rPr>
          <w:rFonts w:ascii="宋体" w:hAnsi="宋体"/>
          <w:b/>
          <w:sz w:val="36"/>
          <w:szCs w:val="36"/>
        </w:rPr>
        <w:br w:type="textWrapping"/>
      </w:r>
      <w:r>
        <w:rPr>
          <w:b/>
          <w:sz w:val="36"/>
          <w:szCs w:val="36"/>
        </w:rPr>
        <w:br w:type="textWrapping"/>
      </w:r>
      <w:r>
        <w:rPr>
          <w:rFonts w:hint="eastAsia"/>
          <w:b/>
          <w:sz w:val="36"/>
          <w:szCs w:val="36"/>
        </w:rPr>
        <w:t>谈判响应文件格式</w:t>
      </w:r>
      <w:bookmarkEnd w:id="44"/>
    </w:p>
    <w:p w14:paraId="4CB232DC">
      <w:pPr>
        <w:jc w:val="center"/>
        <w:rPr>
          <w:sz w:val="36"/>
        </w:rPr>
      </w:pPr>
    </w:p>
    <w:p w14:paraId="6B55EE46">
      <w:pPr>
        <w:rPr>
          <w:sz w:val="36"/>
        </w:rPr>
      </w:pPr>
    </w:p>
    <w:p w14:paraId="5AA2D0CA">
      <w:pPr>
        <w:rPr>
          <w:sz w:val="36"/>
        </w:rPr>
      </w:pPr>
    </w:p>
    <w:p w14:paraId="3330BBD0">
      <w:pPr>
        <w:rPr>
          <w:sz w:val="36"/>
        </w:rPr>
      </w:pPr>
    </w:p>
    <w:p w14:paraId="6FA1D9A6">
      <w:pPr>
        <w:rPr>
          <w:sz w:val="36"/>
        </w:rPr>
      </w:pPr>
    </w:p>
    <w:p w14:paraId="2F27B343">
      <w:pPr>
        <w:rPr>
          <w:sz w:val="36"/>
        </w:rPr>
      </w:pPr>
    </w:p>
    <w:p w14:paraId="2114D1DB">
      <w:pPr>
        <w:rPr>
          <w:sz w:val="36"/>
        </w:rPr>
      </w:pPr>
    </w:p>
    <w:p w14:paraId="36C38119">
      <w:pPr>
        <w:rPr>
          <w:sz w:val="36"/>
        </w:rPr>
      </w:pPr>
    </w:p>
    <w:p w14:paraId="053C5AF3">
      <w:pPr>
        <w:rPr>
          <w:sz w:val="36"/>
        </w:rPr>
      </w:pPr>
    </w:p>
    <w:p w14:paraId="7779DEF6">
      <w:pPr>
        <w:spacing w:line="360" w:lineRule="auto"/>
        <w:rPr>
          <w:b/>
          <w:bCs/>
          <w:sz w:val="28"/>
        </w:rPr>
      </w:pPr>
    </w:p>
    <w:p w14:paraId="196B7689">
      <w:pPr>
        <w:spacing w:line="360" w:lineRule="auto"/>
        <w:rPr>
          <w:b/>
          <w:bCs/>
          <w:sz w:val="28"/>
        </w:rPr>
      </w:pPr>
    </w:p>
    <w:p w14:paraId="4AAF204A">
      <w:pPr>
        <w:spacing w:line="360" w:lineRule="auto"/>
        <w:rPr>
          <w:b/>
          <w:bCs/>
          <w:sz w:val="28"/>
        </w:rPr>
      </w:pPr>
    </w:p>
    <w:p w14:paraId="3B768B67">
      <w:pPr>
        <w:spacing w:line="360" w:lineRule="auto"/>
        <w:rPr>
          <w:b/>
          <w:bCs/>
          <w:sz w:val="28"/>
        </w:rPr>
      </w:pPr>
    </w:p>
    <w:p w14:paraId="4DCEC40F">
      <w:pPr>
        <w:spacing w:line="360" w:lineRule="auto"/>
        <w:rPr>
          <w:b/>
          <w:bCs/>
          <w:sz w:val="28"/>
        </w:rPr>
      </w:pPr>
    </w:p>
    <w:p w14:paraId="104464E5">
      <w:pPr>
        <w:spacing w:line="360" w:lineRule="auto"/>
        <w:rPr>
          <w:b/>
          <w:bCs/>
          <w:sz w:val="28"/>
        </w:rPr>
      </w:pPr>
    </w:p>
    <w:p w14:paraId="2ADF58D2">
      <w:pPr>
        <w:spacing w:line="360" w:lineRule="auto"/>
        <w:rPr>
          <w:b/>
          <w:bCs/>
          <w:sz w:val="28"/>
        </w:rPr>
      </w:pPr>
    </w:p>
    <w:p w14:paraId="555F2989">
      <w:pPr>
        <w:rPr>
          <w:rFonts w:ascii="宋体" w:hAnsi="宋体"/>
          <w:sz w:val="36"/>
          <w:szCs w:val="36"/>
          <w:u w:val="single"/>
        </w:rPr>
      </w:pPr>
    </w:p>
    <w:p w14:paraId="3EC93DEB">
      <w:pPr>
        <w:ind w:firstLine="1620"/>
        <w:rPr>
          <w:rFonts w:ascii="宋体" w:hAnsi="宋体"/>
          <w:sz w:val="36"/>
          <w:szCs w:val="36"/>
          <w:u w:val="single"/>
        </w:rPr>
      </w:pPr>
    </w:p>
    <w:p w14:paraId="49592F58">
      <w:pPr>
        <w:spacing w:line="360" w:lineRule="auto"/>
        <w:rPr>
          <w:rFonts w:ascii="宋体" w:hAnsi="宋体"/>
          <w:b/>
          <w:kern w:val="0"/>
          <w:sz w:val="36"/>
          <w:szCs w:val="36"/>
        </w:rPr>
      </w:pPr>
    </w:p>
    <w:p w14:paraId="7D7A2E0A">
      <w:pPr>
        <w:spacing w:line="360" w:lineRule="auto"/>
        <w:rPr>
          <w:rFonts w:ascii="宋体" w:hAnsi="宋体"/>
          <w:b/>
          <w:kern w:val="0"/>
          <w:sz w:val="36"/>
          <w:szCs w:val="36"/>
        </w:rPr>
      </w:pPr>
    </w:p>
    <w:p w14:paraId="1EAE2142">
      <w:pPr>
        <w:spacing w:line="360" w:lineRule="auto"/>
        <w:jc w:val="center"/>
        <w:rPr>
          <w:rFonts w:ascii="宋体" w:hAnsi="宋体"/>
          <w:b/>
          <w:bCs/>
          <w:sz w:val="44"/>
          <w:szCs w:val="44"/>
        </w:rPr>
      </w:pPr>
      <w:bookmarkStart w:id="45" w:name="OLE_LINK11"/>
      <w:bookmarkStart w:id="46" w:name="OLE_LINK10"/>
      <w:bookmarkStart w:id="47" w:name="OLE_LINK9"/>
      <w:r>
        <w:rPr>
          <w:rFonts w:hint="eastAsia" w:ascii="宋体" w:hAnsi="宋体"/>
          <w:b/>
          <w:bCs/>
          <w:kern w:val="0"/>
          <w:sz w:val="40"/>
          <w:szCs w:val="40"/>
        </w:rPr>
        <w:t>长春净月高新技术产业开发区教育局2025年薄弱环节改善采购项目</w:t>
      </w:r>
      <w:r>
        <w:rPr>
          <w:rFonts w:hint="eastAsia" w:ascii="宋体" w:hAnsi="宋体"/>
          <w:b/>
          <w:bCs/>
          <w:kern w:val="0"/>
          <w:sz w:val="44"/>
          <w:szCs w:val="44"/>
        </w:rPr>
        <w:t xml:space="preserve">            </w:t>
      </w:r>
    </w:p>
    <w:p w14:paraId="193E9248">
      <w:pPr>
        <w:rPr>
          <w:rFonts w:ascii="宋体" w:hAnsi="宋体"/>
          <w:sz w:val="24"/>
        </w:rPr>
      </w:pPr>
    </w:p>
    <w:p w14:paraId="107E9B91">
      <w:pPr>
        <w:rPr>
          <w:rFonts w:ascii="宋体" w:hAnsi="宋体"/>
          <w:sz w:val="24"/>
        </w:rPr>
      </w:pPr>
    </w:p>
    <w:p w14:paraId="6422C11F">
      <w:pPr>
        <w:rPr>
          <w:rFonts w:ascii="宋体" w:hAnsi="宋体"/>
          <w:sz w:val="24"/>
        </w:rPr>
      </w:pPr>
    </w:p>
    <w:p w14:paraId="2457ABFD">
      <w:pPr>
        <w:rPr>
          <w:rFonts w:ascii="宋体" w:hAnsi="宋体"/>
          <w:sz w:val="24"/>
        </w:rPr>
      </w:pPr>
    </w:p>
    <w:p w14:paraId="526DC7B3">
      <w:pPr>
        <w:rPr>
          <w:rFonts w:ascii="宋体" w:hAnsi="宋体"/>
          <w:sz w:val="24"/>
        </w:rPr>
      </w:pPr>
    </w:p>
    <w:p w14:paraId="5893001B">
      <w:pPr>
        <w:rPr>
          <w:rFonts w:ascii="宋体" w:hAnsi="宋体"/>
          <w:sz w:val="24"/>
        </w:rPr>
      </w:pPr>
    </w:p>
    <w:p w14:paraId="1A780319">
      <w:pPr>
        <w:jc w:val="center"/>
        <w:rPr>
          <w:rFonts w:ascii="宋体" w:hAnsi="宋体"/>
          <w:b/>
          <w:sz w:val="72"/>
          <w:szCs w:val="72"/>
        </w:rPr>
      </w:pPr>
      <w:r>
        <w:rPr>
          <w:rFonts w:hint="eastAsia" w:ascii="宋体" w:hAnsi="宋体"/>
          <w:b/>
          <w:sz w:val="72"/>
          <w:szCs w:val="72"/>
        </w:rPr>
        <w:t>谈 判 响 应 文 件</w:t>
      </w:r>
    </w:p>
    <w:p w14:paraId="091B9028">
      <w:pPr>
        <w:rPr>
          <w:rFonts w:ascii="宋体" w:hAnsi="宋体"/>
          <w:sz w:val="24"/>
        </w:rPr>
      </w:pPr>
    </w:p>
    <w:p w14:paraId="0175F93F">
      <w:pPr>
        <w:jc w:val="center"/>
        <w:rPr>
          <w:rFonts w:ascii="宋体" w:hAnsi="宋体"/>
          <w:sz w:val="24"/>
        </w:rPr>
      </w:pPr>
    </w:p>
    <w:p w14:paraId="3E47353D">
      <w:pPr>
        <w:jc w:val="center"/>
        <w:rPr>
          <w:rFonts w:ascii="宋体" w:hAnsi="宋体"/>
          <w:sz w:val="32"/>
          <w:szCs w:val="32"/>
        </w:rPr>
      </w:pPr>
      <w:r>
        <w:rPr>
          <w:rFonts w:hint="eastAsia" w:ascii="宋体" w:hAnsi="宋体"/>
          <w:sz w:val="32"/>
          <w:szCs w:val="32"/>
        </w:rPr>
        <w:t>项目编号：</w:t>
      </w:r>
      <w:bookmarkEnd w:id="45"/>
      <w:bookmarkEnd w:id="46"/>
      <w:bookmarkEnd w:id="47"/>
      <w:r>
        <w:rPr>
          <w:rFonts w:hint="eastAsia" w:ascii="宋体" w:hAnsi="宋体"/>
          <w:sz w:val="32"/>
          <w:szCs w:val="32"/>
        </w:rPr>
        <w:t>ccjy-[202</w:t>
      </w:r>
      <w:r>
        <w:rPr>
          <w:rFonts w:hint="eastAsia" w:ascii="宋体" w:hAnsi="宋体"/>
          <w:sz w:val="32"/>
          <w:szCs w:val="32"/>
          <w:lang w:val="en-US" w:eastAsia="zh-CN"/>
        </w:rPr>
        <w:t>6</w:t>
      </w:r>
      <w:r>
        <w:rPr>
          <w:rFonts w:hint="eastAsia" w:ascii="宋体" w:hAnsi="宋体"/>
          <w:sz w:val="32"/>
          <w:szCs w:val="32"/>
        </w:rPr>
        <w:t>]-00</w:t>
      </w:r>
      <w:r>
        <w:rPr>
          <w:rFonts w:hint="eastAsia" w:ascii="宋体" w:hAnsi="宋体"/>
          <w:sz w:val="32"/>
          <w:szCs w:val="32"/>
          <w:lang w:val="en-US" w:eastAsia="zh-CN"/>
        </w:rPr>
        <w:t>004</w:t>
      </w:r>
      <w:r>
        <w:rPr>
          <w:rFonts w:hint="eastAsia" w:ascii="宋体" w:hAnsi="宋体"/>
          <w:sz w:val="32"/>
          <w:szCs w:val="32"/>
        </w:rPr>
        <w:t xml:space="preserve">号-01 </w:t>
      </w:r>
    </w:p>
    <w:p w14:paraId="4CD2396B">
      <w:pPr>
        <w:rPr>
          <w:rFonts w:ascii="宋体" w:hAnsi="宋体"/>
          <w:sz w:val="24"/>
        </w:rPr>
      </w:pPr>
    </w:p>
    <w:p w14:paraId="37F18E58">
      <w:pPr>
        <w:rPr>
          <w:rFonts w:ascii="宋体" w:hAnsi="宋体"/>
          <w:sz w:val="24"/>
        </w:rPr>
      </w:pPr>
    </w:p>
    <w:p w14:paraId="48EEA2F4">
      <w:pPr>
        <w:rPr>
          <w:rFonts w:ascii="宋体" w:hAnsi="宋体"/>
          <w:sz w:val="24"/>
        </w:rPr>
      </w:pPr>
    </w:p>
    <w:p w14:paraId="05EE5471">
      <w:pPr>
        <w:rPr>
          <w:rFonts w:ascii="宋体" w:hAnsi="宋体"/>
          <w:sz w:val="24"/>
        </w:rPr>
      </w:pPr>
    </w:p>
    <w:p w14:paraId="232A38D0">
      <w:pPr>
        <w:rPr>
          <w:rFonts w:ascii="宋体" w:hAnsi="宋体"/>
          <w:sz w:val="24"/>
        </w:rPr>
      </w:pPr>
    </w:p>
    <w:p w14:paraId="25D23B29">
      <w:pPr>
        <w:rPr>
          <w:rFonts w:ascii="宋体" w:hAnsi="宋体"/>
          <w:sz w:val="24"/>
        </w:rPr>
      </w:pPr>
    </w:p>
    <w:p w14:paraId="0D346532">
      <w:pPr>
        <w:rPr>
          <w:rFonts w:ascii="宋体" w:hAnsi="宋体"/>
          <w:sz w:val="24"/>
        </w:rPr>
      </w:pPr>
    </w:p>
    <w:p w14:paraId="2E1AE5B7">
      <w:pPr>
        <w:rPr>
          <w:rFonts w:ascii="宋体" w:hAnsi="宋体"/>
          <w:sz w:val="24"/>
        </w:rPr>
      </w:pPr>
    </w:p>
    <w:p w14:paraId="58EB59F2">
      <w:pPr>
        <w:rPr>
          <w:rFonts w:ascii="宋体" w:hAnsi="宋体"/>
          <w:sz w:val="24"/>
        </w:rPr>
      </w:pPr>
    </w:p>
    <w:p w14:paraId="57E68928">
      <w:pPr>
        <w:rPr>
          <w:rFonts w:ascii="宋体" w:hAnsi="宋体"/>
          <w:sz w:val="24"/>
        </w:rPr>
      </w:pPr>
    </w:p>
    <w:p w14:paraId="4228A11E">
      <w:pPr>
        <w:rPr>
          <w:rFonts w:ascii="宋体" w:hAnsi="宋体"/>
          <w:sz w:val="24"/>
        </w:rPr>
      </w:pPr>
    </w:p>
    <w:p w14:paraId="2BB9D0B8">
      <w:pPr>
        <w:rPr>
          <w:rFonts w:ascii="宋体" w:hAnsi="宋体"/>
          <w:sz w:val="24"/>
        </w:rPr>
      </w:pPr>
    </w:p>
    <w:p w14:paraId="1288EE00">
      <w:pPr>
        <w:rPr>
          <w:rFonts w:ascii="宋体" w:hAnsi="宋体"/>
          <w:sz w:val="24"/>
        </w:rPr>
      </w:pPr>
      <w:r>
        <w:rPr>
          <w:rFonts w:hint="eastAsia" w:ascii="宋体" w:hAnsi="宋体"/>
          <w:sz w:val="24"/>
        </w:rPr>
        <w:t>响应谈判供应商：（盖公章）</w:t>
      </w:r>
    </w:p>
    <w:p w14:paraId="2A1F3098">
      <w:pPr>
        <w:rPr>
          <w:rFonts w:ascii="宋体" w:hAnsi="宋体"/>
          <w:sz w:val="24"/>
        </w:rPr>
      </w:pPr>
    </w:p>
    <w:p w14:paraId="099812B6">
      <w:pPr>
        <w:rPr>
          <w:rFonts w:ascii="宋体" w:hAnsi="宋体"/>
          <w:sz w:val="24"/>
        </w:rPr>
      </w:pPr>
      <w:r>
        <w:rPr>
          <w:rFonts w:hint="eastAsia" w:ascii="宋体" w:hAnsi="宋体"/>
          <w:sz w:val="24"/>
        </w:rPr>
        <w:t xml:space="preserve">法定代表人或被授权委托人：（签字或盖章） </w:t>
      </w:r>
    </w:p>
    <w:p w14:paraId="2A127B47">
      <w:pPr>
        <w:rPr>
          <w:rFonts w:ascii="宋体" w:hAnsi="宋体"/>
          <w:sz w:val="24"/>
        </w:rPr>
      </w:pPr>
    </w:p>
    <w:p w14:paraId="22101E3F">
      <w:pPr>
        <w:rPr>
          <w:rFonts w:ascii="宋体" w:hAnsi="宋体"/>
          <w:sz w:val="24"/>
        </w:rPr>
      </w:pPr>
      <w:r>
        <w:rPr>
          <w:rFonts w:hint="eastAsia" w:ascii="宋体" w:hAnsi="宋体"/>
          <w:sz w:val="24"/>
        </w:rPr>
        <w:t>日期：     年   月   日</w:t>
      </w:r>
    </w:p>
    <w:p w14:paraId="5F652D5A">
      <w:pPr>
        <w:rPr>
          <w:rFonts w:ascii="宋体" w:hAnsi="宋体"/>
          <w:sz w:val="24"/>
        </w:rPr>
      </w:pPr>
    </w:p>
    <w:p w14:paraId="4789C710">
      <w:pPr>
        <w:sectPr>
          <w:headerReference r:id="rId15" w:type="first"/>
          <w:headerReference r:id="rId14" w:type="even"/>
          <w:pgSz w:w="11907" w:h="16840"/>
          <w:pgMar w:top="1134" w:right="1134" w:bottom="1134" w:left="1418" w:header="1021" w:footer="1021" w:gutter="170"/>
          <w:paperSrc w:first="15" w:other="15"/>
          <w:cols w:space="720" w:num="1"/>
          <w:docGrid w:linePitch="271" w:charSpace="0"/>
        </w:sectPr>
      </w:pPr>
    </w:p>
    <w:p w14:paraId="0BA683D6">
      <w:pPr>
        <w:ind w:right="1424"/>
        <w:jc w:val="center"/>
        <w:rPr>
          <w:rFonts w:ascii="宋体" w:hAnsi="宋体"/>
          <w:b/>
          <w:bCs/>
          <w:sz w:val="44"/>
          <w:szCs w:val="44"/>
        </w:rPr>
      </w:pPr>
    </w:p>
    <w:p w14:paraId="0E1C661D">
      <w:pPr>
        <w:ind w:right="1424"/>
        <w:jc w:val="center"/>
        <w:rPr>
          <w:rFonts w:ascii="宋体" w:hAnsi="宋体"/>
          <w:b/>
          <w:bCs/>
          <w:sz w:val="44"/>
          <w:szCs w:val="44"/>
        </w:rPr>
      </w:pPr>
    </w:p>
    <w:p w14:paraId="728610F1">
      <w:pPr>
        <w:ind w:right="1424"/>
        <w:jc w:val="center"/>
        <w:rPr>
          <w:rFonts w:ascii="宋体" w:hAnsi="宋体"/>
          <w:b/>
          <w:sz w:val="36"/>
          <w:szCs w:val="36"/>
        </w:rPr>
      </w:pPr>
      <w:r>
        <w:rPr>
          <w:rFonts w:hint="eastAsia" w:ascii="宋体" w:hAnsi="宋体"/>
          <w:b/>
          <w:bCs/>
          <w:sz w:val="44"/>
          <w:szCs w:val="44"/>
        </w:rPr>
        <w:t>目录</w:t>
      </w:r>
    </w:p>
    <w:p w14:paraId="1C44E66A">
      <w:pPr>
        <w:rPr>
          <w:rFonts w:ascii="宋体" w:hAnsi="宋体"/>
          <w:sz w:val="36"/>
          <w:szCs w:val="36"/>
          <w:u w:val="single"/>
        </w:rPr>
      </w:pPr>
    </w:p>
    <w:p w14:paraId="1A482389">
      <w:pPr>
        <w:rPr>
          <w:rFonts w:ascii="宋体" w:hAnsi="宋体"/>
          <w:sz w:val="36"/>
          <w:szCs w:val="36"/>
          <w:u w:val="single"/>
        </w:rPr>
      </w:pPr>
    </w:p>
    <w:p w14:paraId="5C880CFE">
      <w:pPr>
        <w:rPr>
          <w:rFonts w:ascii="宋体" w:hAnsi="宋体"/>
          <w:sz w:val="36"/>
          <w:szCs w:val="36"/>
          <w:u w:val="single"/>
        </w:rPr>
      </w:pPr>
    </w:p>
    <w:p w14:paraId="6A675E63">
      <w:pPr>
        <w:rPr>
          <w:rFonts w:ascii="宋体" w:hAnsi="宋体"/>
          <w:sz w:val="36"/>
          <w:szCs w:val="36"/>
          <w:u w:val="single"/>
        </w:rPr>
      </w:pPr>
    </w:p>
    <w:p w14:paraId="1A9CEE4F">
      <w:pPr>
        <w:rPr>
          <w:rFonts w:ascii="宋体" w:hAnsi="宋体"/>
          <w:sz w:val="36"/>
          <w:szCs w:val="36"/>
          <w:u w:val="single"/>
        </w:rPr>
      </w:pPr>
    </w:p>
    <w:p w14:paraId="116F0739">
      <w:pPr>
        <w:rPr>
          <w:rFonts w:ascii="宋体" w:hAnsi="宋体"/>
          <w:sz w:val="36"/>
          <w:szCs w:val="36"/>
          <w:u w:val="single"/>
        </w:rPr>
      </w:pPr>
    </w:p>
    <w:p w14:paraId="6B74C3DC">
      <w:pPr>
        <w:rPr>
          <w:rFonts w:ascii="宋体" w:hAnsi="宋体"/>
          <w:sz w:val="36"/>
          <w:szCs w:val="36"/>
          <w:u w:val="single"/>
        </w:rPr>
      </w:pPr>
    </w:p>
    <w:p w14:paraId="798ACAED">
      <w:pPr>
        <w:rPr>
          <w:rFonts w:ascii="宋体" w:hAnsi="宋体"/>
          <w:sz w:val="36"/>
          <w:szCs w:val="36"/>
          <w:u w:val="single"/>
        </w:rPr>
      </w:pPr>
    </w:p>
    <w:p w14:paraId="5C97D79D">
      <w:pPr>
        <w:rPr>
          <w:rFonts w:ascii="宋体" w:hAnsi="宋体"/>
          <w:sz w:val="36"/>
          <w:szCs w:val="36"/>
          <w:u w:val="single"/>
        </w:rPr>
      </w:pPr>
    </w:p>
    <w:p w14:paraId="48378311">
      <w:pPr>
        <w:rPr>
          <w:rFonts w:ascii="宋体" w:hAnsi="宋体"/>
          <w:sz w:val="36"/>
          <w:szCs w:val="36"/>
          <w:u w:val="single"/>
        </w:rPr>
      </w:pPr>
    </w:p>
    <w:p w14:paraId="14AC05A2">
      <w:pPr>
        <w:rPr>
          <w:rFonts w:ascii="宋体" w:hAnsi="宋体"/>
          <w:sz w:val="36"/>
          <w:szCs w:val="36"/>
          <w:u w:val="single"/>
        </w:rPr>
      </w:pPr>
    </w:p>
    <w:p w14:paraId="2660E541">
      <w:pPr>
        <w:rPr>
          <w:rFonts w:ascii="宋体" w:hAnsi="宋体"/>
          <w:sz w:val="36"/>
          <w:szCs w:val="36"/>
          <w:u w:val="single"/>
        </w:rPr>
      </w:pPr>
    </w:p>
    <w:p w14:paraId="6E47BA70">
      <w:pPr>
        <w:rPr>
          <w:rFonts w:ascii="宋体" w:hAnsi="宋体"/>
          <w:sz w:val="36"/>
          <w:szCs w:val="36"/>
          <w:u w:val="single"/>
        </w:rPr>
      </w:pPr>
    </w:p>
    <w:p w14:paraId="50C853FF">
      <w:pPr>
        <w:rPr>
          <w:rFonts w:ascii="宋体" w:hAnsi="宋体"/>
          <w:sz w:val="36"/>
          <w:szCs w:val="36"/>
          <w:u w:val="single"/>
        </w:rPr>
      </w:pPr>
    </w:p>
    <w:p w14:paraId="304B3A79">
      <w:pPr>
        <w:rPr>
          <w:rFonts w:ascii="宋体" w:hAnsi="宋体"/>
          <w:sz w:val="36"/>
          <w:szCs w:val="36"/>
          <w:u w:val="single"/>
        </w:rPr>
      </w:pPr>
    </w:p>
    <w:p w14:paraId="510F0FD2">
      <w:pPr>
        <w:rPr>
          <w:rFonts w:ascii="宋体" w:hAnsi="宋体"/>
          <w:sz w:val="36"/>
          <w:szCs w:val="36"/>
          <w:u w:val="single"/>
        </w:rPr>
      </w:pPr>
    </w:p>
    <w:p w14:paraId="49DEB94A">
      <w:pPr>
        <w:rPr>
          <w:rFonts w:ascii="宋体" w:hAnsi="宋体"/>
          <w:sz w:val="36"/>
          <w:szCs w:val="36"/>
          <w:u w:val="single"/>
        </w:rPr>
      </w:pPr>
    </w:p>
    <w:p w14:paraId="00772919">
      <w:pPr>
        <w:rPr>
          <w:rFonts w:ascii="宋体" w:hAnsi="宋体"/>
          <w:sz w:val="36"/>
          <w:szCs w:val="36"/>
          <w:u w:val="single"/>
        </w:rPr>
      </w:pPr>
    </w:p>
    <w:p w14:paraId="7670560E">
      <w:pPr>
        <w:rPr>
          <w:rFonts w:ascii="宋体" w:hAnsi="宋体"/>
          <w:sz w:val="36"/>
          <w:szCs w:val="36"/>
          <w:u w:val="single"/>
        </w:rPr>
      </w:pPr>
    </w:p>
    <w:p w14:paraId="4EA25D35">
      <w:pPr>
        <w:rPr>
          <w:rFonts w:ascii="宋体" w:hAnsi="宋体"/>
          <w:sz w:val="36"/>
          <w:szCs w:val="36"/>
          <w:u w:val="single"/>
        </w:rPr>
      </w:pPr>
    </w:p>
    <w:p w14:paraId="45DEA4E0">
      <w:pPr>
        <w:rPr>
          <w:rFonts w:ascii="宋体" w:hAnsi="宋体"/>
          <w:sz w:val="36"/>
          <w:szCs w:val="36"/>
          <w:u w:val="single"/>
        </w:rPr>
      </w:pPr>
    </w:p>
    <w:p w14:paraId="0968116D">
      <w:pPr>
        <w:rPr>
          <w:rFonts w:ascii="宋体" w:hAnsi="宋体"/>
          <w:sz w:val="36"/>
          <w:szCs w:val="36"/>
          <w:u w:val="single"/>
        </w:rPr>
      </w:pPr>
    </w:p>
    <w:p w14:paraId="78713339">
      <w:pPr>
        <w:rPr>
          <w:rFonts w:ascii="宋体" w:hAnsi="宋体"/>
          <w:sz w:val="36"/>
          <w:szCs w:val="36"/>
          <w:u w:val="single"/>
        </w:rPr>
      </w:pPr>
    </w:p>
    <w:p w14:paraId="29C70D7E">
      <w:pPr>
        <w:rPr>
          <w:rFonts w:ascii="宋体" w:hAnsi="宋体"/>
          <w:sz w:val="36"/>
          <w:szCs w:val="36"/>
          <w:u w:val="single"/>
        </w:rPr>
      </w:pPr>
    </w:p>
    <w:p w14:paraId="545D50F2">
      <w:pPr>
        <w:rPr>
          <w:rFonts w:ascii="宋体" w:hAnsi="宋体"/>
          <w:sz w:val="36"/>
          <w:szCs w:val="36"/>
          <w:u w:val="single"/>
        </w:rPr>
      </w:pPr>
    </w:p>
    <w:p w14:paraId="1AF73A45">
      <w:pPr>
        <w:rPr>
          <w:rFonts w:ascii="宋体" w:hAnsi="宋体"/>
          <w:sz w:val="36"/>
          <w:szCs w:val="36"/>
          <w:u w:val="single"/>
        </w:rPr>
      </w:pPr>
    </w:p>
    <w:p w14:paraId="19832131">
      <w:pPr>
        <w:rPr>
          <w:rFonts w:ascii="宋体" w:hAnsi="宋体"/>
          <w:b/>
          <w:kern w:val="0"/>
          <w:sz w:val="36"/>
          <w:szCs w:val="36"/>
        </w:rPr>
      </w:pPr>
    </w:p>
    <w:p w14:paraId="569D0A26">
      <w:pPr>
        <w:spacing w:line="360" w:lineRule="auto"/>
        <w:rPr>
          <w:rFonts w:ascii="宋体" w:hAnsi="宋体"/>
          <w:sz w:val="24"/>
        </w:rPr>
      </w:pPr>
      <w:r>
        <w:rPr>
          <w:rFonts w:hint="eastAsia" w:ascii="宋体" w:hAnsi="宋体"/>
          <w:b/>
          <w:bCs/>
          <w:sz w:val="24"/>
        </w:rPr>
        <w:t>第一部分：谈判响应文件资格证明部分</w:t>
      </w:r>
    </w:p>
    <w:p w14:paraId="619B3A3B">
      <w:pPr>
        <w:numPr>
          <w:ilvl w:val="0"/>
          <w:numId w:val="13"/>
        </w:numPr>
        <w:spacing w:line="360" w:lineRule="auto"/>
        <w:rPr>
          <w:rFonts w:ascii="宋体" w:hAnsi="宋体"/>
          <w:sz w:val="24"/>
        </w:rPr>
      </w:pPr>
      <w:r>
        <w:rPr>
          <w:rFonts w:hint="eastAsia" w:ascii="宋体" w:hAnsi="宋体"/>
          <w:sz w:val="24"/>
        </w:rPr>
        <w:t>响应</w:t>
      </w:r>
      <w:bookmarkStart w:id="48" w:name="_Hlk218856552"/>
      <w:r>
        <w:rPr>
          <w:rFonts w:hint="eastAsia" w:ascii="宋体" w:hAnsi="宋体"/>
          <w:sz w:val="24"/>
        </w:rPr>
        <w:t>谈判</w:t>
      </w:r>
      <w:bookmarkEnd w:id="48"/>
      <w:r>
        <w:rPr>
          <w:rFonts w:ascii="宋体" w:hAnsi="宋体"/>
          <w:sz w:val="24"/>
        </w:rPr>
        <w:t>供应商</w:t>
      </w:r>
      <w:r>
        <w:rPr>
          <w:rFonts w:hint="eastAsia" w:ascii="宋体" w:hAnsi="宋体"/>
          <w:sz w:val="24"/>
        </w:rPr>
        <w:t>营业执照；</w:t>
      </w:r>
    </w:p>
    <w:p w14:paraId="1B15CEE4">
      <w:pPr>
        <w:spacing w:line="360" w:lineRule="auto"/>
        <w:rPr>
          <w:rFonts w:ascii="宋体" w:hAnsi="宋体"/>
          <w:sz w:val="24"/>
        </w:rPr>
      </w:pPr>
    </w:p>
    <w:p w14:paraId="2EAEB20F">
      <w:pPr>
        <w:spacing w:line="360" w:lineRule="auto"/>
        <w:rPr>
          <w:rFonts w:ascii="宋体" w:hAnsi="宋体"/>
          <w:sz w:val="24"/>
        </w:rPr>
      </w:pPr>
    </w:p>
    <w:p w14:paraId="7EF1A9E2">
      <w:pPr>
        <w:spacing w:line="360" w:lineRule="auto"/>
        <w:rPr>
          <w:rFonts w:ascii="宋体" w:hAnsi="宋体"/>
          <w:sz w:val="24"/>
        </w:rPr>
      </w:pPr>
    </w:p>
    <w:p w14:paraId="180F4B66">
      <w:pPr>
        <w:spacing w:line="360" w:lineRule="auto"/>
        <w:rPr>
          <w:rFonts w:ascii="宋体" w:hAnsi="宋体"/>
          <w:sz w:val="24"/>
        </w:rPr>
      </w:pPr>
    </w:p>
    <w:p w14:paraId="1DCC4B1E">
      <w:pPr>
        <w:spacing w:line="360" w:lineRule="auto"/>
        <w:rPr>
          <w:rFonts w:ascii="宋体" w:hAnsi="宋体"/>
          <w:sz w:val="24"/>
        </w:rPr>
      </w:pPr>
    </w:p>
    <w:p w14:paraId="416A872E">
      <w:pPr>
        <w:spacing w:line="360" w:lineRule="auto"/>
        <w:rPr>
          <w:rFonts w:ascii="宋体" w:hAnsi="宋体"/>
          <w:sz w:val="24"/>
        </w:rPr>
      </w:pPr>
    </w:p>
    <w:p w14:paraId="2ED0BBEA">
      <w:pPr>
        <w:spacing w:line="360" w:lineRule="auto"/>
        <w:rPr>
          <w:rFonts w:ascii="宋体" w:hAnsi="宋体"/>
          <w:sz w:val="24"/>
        </w:rPr>
      </w:pPr>
    </w:p>
    <w:p w14:paraId="18C5CF6F">
      <w:pPr>
        <w:spacing w:line="360" w:lineRule="auto"/>
        <w:rPr>
          <w:rFonts w:ascii="宋体" w:hAnsi="宋体"/>
          <w:sz w:val="24"/>
        </w:rPr>
      </w:pPr>
    </w:p>
    <w:p w14:paraId="77B39D7A">
      <w:pPr>
        <w:spacing w:line="360" w:lineRule="auto"/>
        <w:rPr>
          <w:rFonts w:ascii="宋体" w:hAnsi="宋体"/>
          <w:sz w:val="24"/>
        </w:rPr>
      </w:pPr>
    </w:p>
    <w:p w14:paraId="40AD4E73">
      <w:pPr>
        <w:spacing w:line="360" w:lineRule="auto"/>
        <w:rPr>
          <w:rFonts w:ascii="宋体" w:hAnsi="宋体"/>
          <w:sz w:val="24"/>
        </w:rPr>
      </w:pPr>
    </w:p>
    <w:p w14:paraId="53A778CE">
      <w:pPr>
        <w:spacing w:line="360" w:lineRule="auto"/>
        <w:rPr>
          <w:rFonts w:ascii="宋体" w:hAnsi="宋体"/>
          <w:sz w:val="24"/>
        </w:rPr>
      </w:pPr>
    </w:p>
    <w:p w14:paraId="5AD2474F">
      <w:pPr>
        <w:spacing w:line="360" w:lineRule="auto"/>
        <w:rPr>
          <w:rFonts w:ascii="宋体" w:hAnsi="宋体"/>
          <w:sz w:val="24"/>
        </w:rPr>
      </w:pPr>
    </w:p>
    <w:p w14:paraId="50067EAF">
      <w:pPr>
        <w:spacing w:line="360" w:lineRule="auto"/>
        <w:rPr>
          <w:rFonts w:ascii="宋体" w:hAnsi="宋体"/>
          <w:sz w:val="24"/>
        </w:rPr>
      </w:pPr>
    </w:p>
    <w:p w14:paraId="2436E960">
      <w:pPr>
        <w:spacing w:line="360" w:lineRule="auto"/>
        <w:rPr>
          <w:rFonts w:ascii="宋体" w:hAnsi="宋体"/>
          <w:sz w:val="24"/>
        </w:rPr>
      </w:pPr>
    </w:p>
    <w:p w14:paraId="69A3CDA2">
      <w:pPr>
        <w:spacing w:line="360" w:lineRule="auto"/>
        <w:rPr>
          <w:rFonts w:ascii="宋体" w:hAnsi="宋体"/>
          <w:sz w:val="24"/>
        </w:rPr>
      </w:pPr>
    </w:p>
    <w:p w14:paraId="4C149DD0">
      <w:pPr>
        <w:spacing w:line="360" w:lineRule="auto"/>
        <w:rPr>
          <w:rFonts w:ascii="宋体" w:hAnsi="宋体"/>
          <w:sz w:val="24"/>
        </w:rPr>
      </w:pPr>
    </w:p>
    <w:p w14:paraId="4DF705DC">
      <w:pPr>
        <w:spacing w:line="360" w:lineRule="auto"/>
        <w:rPr>
          <w:rFonts w:ascii="宋体" w:hAnsi="宋体"/>
          <w:sz w:val="24"/>
        </w:rPr>
      </w:pPr>
    </w:p>
    <w:p w14:paraId="18A8A5D6">
      <w:pPr>
        <w:spacing w:line="360" w:lineRule="auto"/>
        <w:rPr>
          <w:rFonts w:ascii="宋体" w:hAnsi="宋体"/>
          <w:sz w:val="24"/>
        </w:rPr>
      </w:pPr>
    </w:p>
    <w:p w14:paraId="18EEBF36">
      <w:pPr>
        <w:spacing w:line="360" w:lineRule="auto"/>
        <w:rPr>
          <w:rFonts w:ascii="宋体" w:hAnsi="宋体"/>
          <w:sz w:val="24"/>
        </w:rPr>
      </w:pPr>
    </w:p>
    <w:p w14:paraId="1A2A4480">
      <w:pPr>
        <w:spacing w:line="360" w:lineRule="auto"/>
        <w:rPr>
          <w:rFonts w:ascii="宋体" w:hAnsi="宋体"/>
          <w:sz w:val="24"/>
        </w:rPr>
      </w:pPr>
    </w:p>
    <w:p w14:paraId="629299B8">
      <w:pPr>
        <w:spacing w:line="360" w:lineRule="auto"/>
        <w:rPr>
          <w:rFonts w:ascii="宋体" w:hAnsi="宋体"/>
          <w:sz w:val="24"/>
        </w:rPr>
      </w:pPr>
    </w:p>
    <w:p w14:paraId="2D202307">
      <w:pPr>
        <w:spacing w:line="360" w:lineRule="auto"/>
        <w:rPr>
          <w:rFonts w:ascii="宋体" w:hAnsi="宋体"/>
          <w:sz w:val="24"/>
        </w:rPr>
      </w:pPr>
    </w:p>
    <w:p w14:paraId="44EC8EB2">
      <w:pPr>
        <w:spacing w:line="360" w:lineRule="auto"/>
        <w:rPr>
          <w:rFonts w:ascii="宋体" w:hAnsi="宋体"/>
          <w:sz w:val="24"/>
        </w:rPr>
      </w:pPr>
    </w:p>
    <w:p w14:paraId="422B239F">
      <w:pPr>
        <w:spacing w:line="360" w:lineRule="auto"/>
        <w:rPr>
          <w:rFonts w:ascii="宋体" w:hAnsi="宋体"/>
          <w:sz w:val="24"/>
        </w:rPr>
      </w:pPr>
    </w:p>
    <w:p w14:paraId="0C026641">
      <w:pPr>
        <w:spacing w:line="360" w:lineRule="auto"/>
        <w:rPr>
          <w:rFonts w:ascii="宋体" w:hAnsi="宋体"/>
          <w:sz w:val="24"/>
        </w:rPr>
      </w:pPr>
    </w:p>
    <w:p w14:paraId="531976C5">
      <w:pPr>
        <w:spacing w:line="360" w:lineRule="auto"/>
        <w:rPr>
          <w:rFonts w:ascii="宋体" w:hAnsi="宋体"/>
          <w:sz w:val="24"/>
        </w:rPr>
      </w:pPr>
    </w:p>
    <w:p w14:paraId="12EE5563">
      <w:pPr>
        <w:spacing w:line="360" w:lineRule="auto"/>
        <w:rPr>
          <w:rFonts w:ascii="宋体" w:hAnsi="宋体"/>
          <w:sz w:val="24"/>
        </w:rPr>
      </w:pPr>
    </w:p>
    <w:p w14:paraId="5C4E6711">
      <w:pPr>
        <w:spacing w:line="360" w:lineRule="auto"/>
        <w:rPr>
          <w:rFonts w:ascii="宋体" w:hAnsi="宋体"/>
          <w:sz w:val="24"/>
        </w:rPr>
      </w:pPr>
    </w:p>
    <w:p w14:paraId="46D4E88B">
      <w:pPr>
        <w:spacing w:line="360" w:lineRule="auto"/>
        <w:rPr>
          <w:rFonts w:ascii="宋体" w:hAnsi="宋体"/>
          <w:sz w:val="24"/>
        </w:rPr>
      </w:pPr>
    </w:p>
    <w:p w14:paraId="70E9EF84">
      <w:pPr>
        <w:spacing w:line="360" w:lineRule="auto"/>
        <w:rPr>
          <w:rFonts w:ascii="宋体" w:hAnsi="宋体"/>
          <w:sz w:val="24"/>
        </w:rPr>
      </w:pPr>
      <w:r>
        <w:rPr>
          <w:rFonts w:hint="eastAsia" w:ascii="宋体" w:hAnsi="宋体"/>
          <w:sz w:val="24"/>
        </w:rPr>
        <w:t>二、</w:t>
      </w:r>
      <w:r>
        <w:rPr>
          <w:rFonts w:hint="eastAsia" w:ascii="宋体" w:hAnsi="宋体" w:cs="仿宋_GB2312"/>
          <w:bCs/>
          <w:kern w:val="0"/>
          <w:sz w:val="24"/>
          <w:lang w:val="zh-CN"/>
        </w:rPr>
        <w:t>法定代表人授权书、被授权委托人身份证、被授权委托人社会保险参保证明；响应谈判供应商代表为法定代表人的提交法定代表人资格证明书及法定代表人身份证；</w:t>
      </w:r>
    </w:p>
    <w:p w14:paraId="59967EAE">
      <w:pPr>
        <w:spacing w:line="440" w:lineRule="atLeast"/>
        <w:jc w:val="center"/>
        <w:rPr>
          <w:rFonts w:ascii="宋体" w:hAnsi="宋体"/>
          <w:b/>
          <w:sz w:val="28"/>
        </w:rPr>
      </w:pPr>
      <w:r>
        <w:rPr>
          <w:rFonts w:hint="eastAsia" w:ascii="宋体" w:hAnsi="宋体"/>
          <w:b/>
          <w:sz w:val="28"/>
        </w:rPr>
        <w:t>法定代表人资格证明书</w:t>
      </w:r>
    </w:p>
    <w:p w14:paraId="7D86D06B">
      <w:pPr>
        <w:spacing w:line="440" w:lineRule="atLeast"/>
        <w:jc w:val="center"/>
        <w:rPr>
          <w:rFonts w:ascii="宋体" w:hAnsi="宋体"/>
          <w:b/>
          <w:sz w:val="28"/>
        </w:rPr>
      </w:pPr>
      <w:r>
        <w:rPr>
          <w:rFonts w:hint="eastAsia" w:ascii="宋体" w:hAnsi="宋体"/>
          <w:b/>
          <w:sz w:val="28"/>
        </w:rPr>
        <w:t>（法定代表人作为供应商代表时需提供此页）</w:t>
      </w:r>
    </w:p>
    <w:p w14:paraId="37F698B3">
      <w:pPr>
        <w:spacing w:line="440" w:lineRule="atLeast"/>
        <w:jc w:val="center"/>
        <w:rPr>
          <w:rFonts w:ascii="宋体" w:hAnsi="宋体"/>
          <w:b/>
          <w:sz w:val="28"/>
        </w:rPr>
      </w:pPr>
    </w:p>
    <w:p w14:paraId="0A4CE060">
      <w:pPr>
        <w:spacing w:line="360" w:lineRule="auto"/>
        <w:rPr>
          <w:rFonts w:ascii="宋体"/>
          <w:sz w:val="24"/>
        </w:rPr>
      </w:pPr>
    </w:p>
    <w:p w14:paraId="42487214">
      <w:pPr>
        <w:spacing w:line="360" w:lineRule="auto"/>
        <w:rPr>
          <w:rFonts w:ascii="仿宋_GB2312"/>
          <w:sz w:val="24"/>
        </w:rPr>
      </w:pPr>
      <w:r>
        <w:rPr>
          <w:rFonts w:hint="eastAsia" w:ascii="仿宋_GB2312"/>
          <w:sz w:val="24"/>
        </w:rPr>
        <w:t>响应谈判</w:t>
      </w:r>
      <w:r>
        <w:rPr>
          <w:rFonts w:ascii="仿宋_GB2312"/>
          <w:sz w:val="24"/>
        </w:rPr>
        <w:t>供应商</w:t>
      </w:r>
      <w:r>
        <w:rPr>
          <w:rFonts w:hint="eastAsia" w:ascii="仿宋_GB2312"/>
          <w:sz w:val="24"/>
        </w:rPr>
        <w:t>名称：</w:t>
      </w:r>
    </w:p>
    <w:p w14:paraId="704D53BC">
      <w:pPr>
        <w:spacing w:line="360" w:lineRule="auto"/>
        <w:rPr>
          <w:rFonts w:ascii="仿宋_GB2312"/>
          <w:sz w:val="24"/>
          <w:u w:val="single"/>
        </w:rPr>
      </w:pPr>
      <w:r>
        <w:rPr>
          <w:rFonts w:hint="eastAsia" w:ascii="仿宋_GB2312"/>
          <w:sz w:val="24"/>
        </w:rPr>
        <w:t>单位性质：</w:t>
      </w:r>
      <w:r>
        <w:rPr>
          <w:rFonts w:hint="eastAsia" w:ascii="仿宋_GB2312"/>
          <w:sz w:val="24"/>
          <w:u w:val="single"/>
        </w:rPr>
        <w:t xml:space="preserve">                                                      </w:t>
      </w:r>
    </w:p>
    <w:p w14:paraId="619257C5">
      <w:pPr>
        <w:spacing w:line="360" w:lineRule="auto"/>
        <w:rPr>
          <w:rFonts w:ascii="仿宋_GB2312"/>
          <w:sz w:val="24"/>
          <w:u w:val="single"/>
        </w:rPr>
      </w:pPr>
      <w:r>
        <w:rPr>
          <w:rFonts w:hint="eastAsia" w:ascii="仿宋_GB2312"/>
          <w:sz w:val="24"/>
        </w:rPr>
        <w:t>地    址：</w:t>
      </w:r>
      <w:r>
        <w:rPr>
          <w:rFonts w:hint="eastAsia" w:ascii="仿宋_GB2312"/>
          <w:sz w:val="24"/>
          <w:u w:val="single"/>
        </w:rPr>
        <w:t xml:space="preserve">                                                      </w:t>
      </w:r>
    </w:p>
    <w:p w14:paraId="463DFFCD">
      <w:pPr>
        <w:spacing w:line="360" w:lineRule="auto"/>
        <w:rPr>
          <w:rFonts w:ascii="仿宋_GB2312"/>
          <w:sz w:val="24"/>
        </w:rPr>
      </w:pPr>
      <w:r>
        <w:rPr>
          <w:rFonts w:hint="eastAsia" w:ascii="仿宋_GB2312"/>
          <w:sz w:val="24"/>
        </w:rPr>
        <w:t>成立时间：</w:t>
      </w:r>
      <w:r>
        <w:rPr>
          <w:rFonts w:hint="eastAsia" w:ascii="仿宋_GB2312"/>
          <w:sz w:val="24"/>
          <w:u w:val="single"/>
        </w:rPr>
        <w:t xml:space="preserve">                                                      </w:t>
      </w:r>
    </w:p>
    <w:p w14:paraId="538B3024">
      <w:pPr>
        <w:spacing w:line="360" w:lineRule="auto"/>
        <w:rPr>
          <w:rFonts w:ascii="仿宋_GB2312"/>
          <w:sz w:val="24"/>
          <w:u w:val="single"/>
        </w:rPr>
      </w:pPr>
      <w:r>
        <w:rPr>
          <w:rFonts w:hint="eastAsia" w:ascii="仿宋_GB2312"/>
          <w:sz w:val="24"/>
        </w:rPr>
        <w:t>经营期限：</w:t>
      </w:r>
      <w:r>
        <w:rPr>
          <w:rFonts w:hint="eastAsia" w:ascii="仿宋_GB2312"/>
          <w:sz w:val="24"/>
          <w:u w:val="single"/>
        </w:rPr>
        <w:t xml:space="preserve">                                                      </w:t>
      </w:r>
    </w:p>
    <w:p w14:paraId="1DC2B8A9">
      <w:pPr>
        <w:spacing w:line="360" w:lineRule="auto"/>
        <w:rPr>
          <w:rFonts w:ascii="仿宋_GB2312"/>
          <w:sz w:val="24"/>
          <w:u w:val="single"/>
        </w:rPr>
      </w:pPr>
      <w:r>
        <w:rPr>
          <w:rFonts w:hint="eastAsia" w:ascii="仿宋_GB2312"/>
          <w:sz w:val="24"/>
        </w:rPr>
        <w:t>姓名：</w:t>
      </w:r>
      <w:r>
        <w:rPr>
          <w:rFonts w:hint="eastAsia" w:ascii="仿宋_GB2312"/>
          <w:sz w:val="24"/>
          <w:u w:val="single"/>
        </w:rPr>
        <w:t xml:space="preserve">            </w:t>
      </w:r>
      <w:r>
        <w:rPr>
          <w:rFonts w:hint="eastAsia" w:ascii="仿宋_GB2312"/>
          <w:sz w:val="24"/>
        </w:rPr>
        <w:t>性别：</w:t>
      </w:r>
      <w:r>
        <w:rPr>
          <w:rFonts w:hint="eastAsia" w:ascii="仿宋_GB2312"/>
          <w:sz w:val="24"/>
          <w:u w:val="single"/>
        </w:rPr>
        <w:t xml:space="preserve">        </w:t>
      </w:r>
      <w:r>
        <w:rPr>
          <w:rFonts w:hint="eastAsia" w:ascii="仿宋_GB2312"/>
          <w:sz w:val="24"/>
        </w:rPr>
        <w:tab/>
      </w:r>
      <w:r>
        <w:rPr>
          <w:rFonts w:hint="eastAsia" w:ascii="仿宋_GB2312"/>
          <w:sz w:val="24"/>
        </w:rPr>
        <w:t xml:space="preserve"> 年龄：</w:t>
      </w:r>
      <w:r>
        <w:rPr>
          <w:rFonts w:hint="eastAsia" w:ascii="仿宋_GB2312"/>
          <w:sz w:val="24"/>
          <w:u w:val="single"/>
        </w:rPr>
        <w:t xml:space="preserve">       </w:t>
      </w:r>
      <w:r>
        <w:rPr>
          <w:rFonts w:hint="eastAsia" w:ascii="仿宋_GB2312"/>
          <w:sz w:val="24"/>
        </w:rPr>
        <w:t xml:space="preserve">    职务：</w:t>
      </w:r>
      <w:r>
        <w:rPr>
          <w:rFonts w:hint="eastAsia" w:ascii="仿宋_GB2312"/>
          <w:sz w:val="24"/>
          <w:u w:val="single"/>
        </w:rPr>
        <w:t xml:space="preserve">       </w:t>
      </w:r>
    </w:p>
    <w:p w14:paraId="5232EE3B">
      <w:pPr>
        <w:spacing w:line="360" w:lineRule="auto"/>
        <w:ind w:firstLine="480" w:firstLineChars="200"/>
        <w:rPr>
          <w:rFonts w:ascii="仿宋_GB2312"/>
          <w:sz w:val="24"/>
          <w:u w:val="single"/>
        </w:rPr>
      </w:pPr>
      <w:r>
        <w:rPr>
          <w:rFonts w:hint="eastAsia" w:ascii="仿宋_GB2312"/>
          <w:sz w:val="24"/>
        </w:rPr>
        <w:t>系</w:t>
      </w:r>
      <w:r>
        <w:rPr>
          <w:rFonts w:hint="eastAsia" w:ascii="仿宋_GB2312"/>
          <w:sz w:val="24"/>
          <w:u w:val="single"/>
        </w:rPr>
        <w:t xml:space="preserve">                 </w:t>
      </w:r>
      <w:r>
        <w:rPr>
          <w:rFonts w:hint="eastAsia" w:ascii="仿宋_GB2312"/>
          <w:sz w:val="24"/>
        </w:rPr>
        <w:t>（响应谈判</w:t>
      </w:r>
      <w:r>
        <w:rPr>
          <w:rFonts w:ascii="仿宋_GB2312"/>
          <w:sz w:val="24"/>
        </w:rPr>
        <w:t>供应商</w:t>
      </w:r>
      <w:r>
        <w:rPr>
          <w:rFonts w:hint="eastAsia" w:ascii="仿宋_GB2312"/>
          <w:sz w:val="24"/>
        </w:rPr>
        <w:t>名称）的法定代表人。</w:t>
      </w:r>
    </w:p>
    <w:p w14:paraId="06EA282D">
      <w:pPr>
        <w:spacing w:line="360" w:lineRule="auto"/>
        <w:ind w:firstLine="76" w:firstLineChars="32"/>
        <w:rPr>
          <w:rFonts w:ascii="仿宋_GB2312"/>
          <w:sz w:val="24"/>
        </w:rPr>
      </w:pPr>
      <w:r>
        <w:rPr>
          <w:rFonts w:hint="eastAsia" w:ascii="仿宋_GB2312"/>
          <w:sz w:val="24"/>
        </w:rPr>
        <w:t xml:space="preserve">  </w:t>
      </w:r>
    </w:p>
    <w:p w14:paraId="6013F88C">
      <w:pPr>
        <w:spacing w:line="360" w:lineRule="auto"/>
        <w:ind w:firstLine="552" w:firstLineChars="230"/>
        <w:rPr>
          <w:rFonts w:ascii="仿宋_GB2312"/>
          <w:sz w:val="24"/>
        </w:rPr>
      </w:pPr>
      <w:r>
        <w:rPr>
          <w:rFonts w:hint="eastAsia" w:ascii="仿宋_GB2312"/>
          <w:sz w:val="24"/>
        </w:rPr>
        <w:t>特此证明。</w:t>
      </w:r>
    </w:p>
    <w:p w14:paraId="79330785">
      <w:pPr>
        <w:spacing w:line="440" w:lineRule="atLeast"/>
        <w:ind w:firstLine="76" w:firstLineChars="32"/>
        <w:rPr>
          <w:rFonts w:ascii="仿宋_GB2312"/>
          <w:sz w:val="24"/>
        </w:rPr>
      </w:pPr>
    </w:p>
    <w:p w14:paraId="35B47267">
      <w:pPr>
        <w:spacing w:line="440" w:lineRule="atLeast"/>
        <w:ind w:firstLine="76" w:firstLineChars="32"/>
        <w:rPr>
          <w:rFonts w:ascii="仿宋_GB2312"/>
          <w:sz w:val="24"/>
        </w:rPr>
      </w:pPr>
    </w:p>
    <w:p w14:paraId="6695A146">
      <w:pPr>
        <w:spacing w:line="440" w:lineRule="atLeast"/>
        <w:ind w:firstLine="76" w:firstLineChars="32"/>
        <w:rPr>
          <w:rFonts w:ascii="仿宋_GB2312"/>
          <w:sz w:val="24"/>
        </w:rPr>
      </w:pPr>
    </w:p>
    <w:p w14:paraId="1558DBB1">
      <w:pPr>
        <w:spacing w:line="440" w:lineRule="atLeast"/>
        <w:ind w:firstLine="76" w:firstLineChars="32"/>
        <w:rPr>
          <w:rFonts w:ascii="仿宋_GB2312"/>
          <w:sz w:val="24"/>
        </w:rPr>
      </w:pPr>
    </w:p>
    <w:p w14:paraId="0CF0BFF0">
      <w:pPr>
        <w:spacing w:line="440" w:lineRule="atLeast"/>
        <w:ind w:firstLine="76" w:firstLineChars="32"/>
        <w:jc w:val="center"/>
        <w:rPr>
          <w:rFonts w:ascii="仿宋_GB2312"/>
          <w:sz w:val="24"/>
        </w:rPr>
      </w:pPr>
      <w:r>
        <w:rPr>
          <w:rFonts w:hint="eastAsia" w:ascii="仿宋_GB2312"/>
          <w:sz w:val="24"/>
        </w:rPr>
        <w:t>（法定代表人身份证正反面）</w:t>
      </w:r>
    </w:p>
    <w:p w14:paraId="0B001B3B">
      <w:pPr>
        <w:spacing w:line="440" w:lineRule="atLeast"/>
        <w:ind w:firstLine="76" w:firstLineChars="32"/>
        <w:rPr>
          <w:rFonts w:ascii="仿宋_GB2312"/>
          <w:sz w:val="24"/>
        </w:rPr>
      </w:pPr>
    </w:p>
    <w:p w14:paraId="1E214D06">
      <w:pPr>
        <w:spacing w:line="440" w:lineRule="atLeast"/>
        <w:ind w:firstLine="76" w:firstLineChars="32"/>
        <w:rPr>
          <w:rFonts w:ascii="仿宋_GB2312"/>
          <w:sz w:val="24"/>
        </w:rPr>
      </w:pPr>
    </w:p>
    <w:p w14:paraId="7E94A78F">
      <w:pPr>
        <w:spacing w:line="440" w:lineRule="atLeast"/>
        <w:ind w:firstLine="76" w:firstLineChars="32"/>
        <w:rPr>
          <w:rFonts w:ascii="仿宋_GB2312"/>
          <w:sz w:val="24"/>
        </w:rPr>
      </w:pPr>
    </w:p>
    <w:p w14:paraId="27ED049F">
      <w:pPr>
        <w:spacing w:line="440" w:lineRule="atLeast"/>
        <w:ind w:firstLine="76" w:firstLineChars="32"/>
        <w:rPr>
          <w:rFonts w:ascii="仿宋_GB2312"/>
          <w:sz w:val="24"/>
        </w:rPr>
      </w:pPr>
    </w:p>
    <w:p w14:paraId="4AD7225A">
      <w:pPr>
        <w:spacing w:line="440" w:lineRule="atLeast"/>
        <w:ind w:firstLine="76" w:firstLineChars="32"/>
        <w:rPr>
          <w:rFonts w:ascii="仿宋_GB2312"/>
          <w:sz w:val="24"/>
        </w:rPr>
      </w:pPr>
    </w:p>
    <w:p w14:paraId="3A4DA153">
      <w:pPr>
        <w:spacing w:line="440" w:lineRule="atLeast"/>
        <w:ind w:firstLine="76" w:firstLineChars="32"/>
        <w:rPr>
          <w:rFonts w:ascii="仿宋_GB2312"/>
          <w:sz w:val="24"/>
        </w:rPr>
      </w:pPr>
    </w:p>
    <w:p w14:paraId="4F32C3B2">
      <w:pPr>
        <w:spacing w:line="440" w:lineRule="atLeast"/>
        <w:ind w:firstLine="76" w:firstLineChars="32"/>
        <w:rPr>
          <w:rFonts w:ascii="仿宋_GB2312"/>
          <w:sz w:val="24"/>
        </w:rPr>
      </w:pPr>
    </w:p>
    <w:p w14:paraId="698A55A2">
      <w:pPr>
        <w:spacing w:line="440" w:lineRule="atLeast"/>
        <w:jc w:val="left"/>
        <w:rPr>
          <w:rFonts w:ascii="仿宋_GB2312"/>
          <w:sz w:val="24"/>
        </w:rPr>
      </w:pPr>
      <w:r>
        <w:rPr>
          <w:rFonts w:hint="eastAsia" w:ascii="仿宋_GB2312"/>
          <w:sz w:val="24"/>
        </w:rPr>
        <w:t>响应谈判</w:t>
      </w:r>
      <w:r>
        <w:rPr>
          <w:rFonts w:ascii="仿宋_GB2312"/>
          <w:sz w:val="24"/>
        </w:rPr>
        <w:t>供应商</w:t>
      </w:r>
      <w:r>
        <w:rPr>
          <w:rFonts w:hint="eastAsia" w:ascii="仿宋_GB2312"/>
          <w:sz w:val="24"/>
        </w:rPr>
        <w:t>：（盖公章）</w:t>
      </w:r>
    </w:p>
    <w:p w14:paraId="7B041D1C">
      <w:pPr>
        <w:spacing w:line="440" w:lineRule="atLeast"/>
        <w:rPr>
          <w:rFonts w:ascii="仿宋_GB2312"/>
          <w:sz w:val="24"/>
        </w:rPr>
      </w:pPr>
    </w:p>
    <w:p w14:paraId="67DDC5A3">
      <w:pPr>
        <w:spacing w:line="440" w:lineRule="atLeast"/>
        <w:rPr>
          <w:rFonts w:ascii="仿宋_GB2312"/>
          <w:sz w:val="24"/>
        </w:rPr>
      </w:pPr>
      <w:r>
        <w:rPr>
          <w:rFonts w:hint="eastAsia" w:ascii="仿宋_GB2312"/>
          <w:sz w:val="24"/>
        </w:rPr>
        <w:t>日期：</w:t>
      </w:r>
      <w:r>
        <w:rPr>
          <w:rFonts w:hint="eastAsia" w:ascii="仿宋_GB2312"/>
          <w:sz w:val="24"/>
          <w:u w:val="single"/>
        </w:rPr>
        <w:t xml:space="preserve">      </w:t>
      </w:r>
      <w:r>
        <w:rPr>
          <w:rFonts w:hint="eastAsia" w:ascii="仿宋_GB2312"/>
          <w:sz w:val="24"/>
        </w:rPr>
        <w:t>年</w:t>
      </w:r>
      <w:r>
        <w:rPr>
          <w:rFonts w:hint="eastAsia" w:ascii="仿宋_GB2312"/>
          <w:sz w:val="24"/>
          <w:u w:val="single"/>
        </w:rPr>
        <w:t xml:space="preserve">   </w:t>
      </w:r>
      <w:r>
        <w:rPr>
          <w:rFonts w:hint="eastAsia" w:ascii="仿宋_GB2312"/>
          <w:sz w:val="24"/>
        </w:rPr>
        <w:t>月</w:t>
      </w:r>
      <w:r>
        <w:rPr>
          <w:rFonts w:hint="eastAsia" w:ascii="仿宋_GB2312"/>
          <w:sz w:val="24"/>
          <w:u w:val="single"/>
        </w:rPr>
        <w:t xml:space="preserve">   </w:t>
      </w:r>
      <w:r>
        <w:rPr>
          <w:rFonts w:hint="eastAsia" w:ascii="仿宋_GB2312"/>
          <w:sz w:val="24"/>
        </w:rPr>
        <w:t>日</w:t>
      </w:r>
    </w:p>
    <w:p w14:paraId="41F3F1D4">
      <w:pPr>
        <w:spacing w:line="440" w:lineRule="atLeast"/>
        <w:rPr>
          <w:rFonts w:ascii="宋体"/>
          <w:sz w:val="24"/>
        </w:rPr>
      </w:pPr>
    </w:p>
    <w:p w14:paraId="4BDBD041">
      <w:pPr>
        <w:spacing w:line="440" w:lineRule="atLeast"/>
        <w:jc w:val="center"/>
        <w:rPr>
          <w:rFonts w:ascii="仿宋_GB2312"/>
          <w:b/>
          <w:sz w:val="28"/>
        </w:rPr>
      </w:pPr>
      <w:r>
        <w:rPr>
          <w:rFonts w:hint="eastAsia" w:ascii="仿宋_GB2312"/>
          <w:b/>
          <w:sz w:val="28"/>
        </w:rPr>
        <w:t>法定代表人授权书</w:t>
      </w:r>
    </w:p>
    <w:p w14:paraId="4AD129A0">
      <w:pPr>
        <w:spacing w:line="440" w:lineRule="atLeast"/>
        <w:jc w:val="center"/>
        <w:rPr>
          <w:rFonts w:ascii="仿宋_GB2312"/>
          <w:b/>
          <w:sz w:val="28"/>
        </w:rPr>
      </w:pPr>
      <w:r>
        <w:rPr>
          <w:rFonts w:hint="eastAsia" w:ascii="仿宋_GB2312"/>
          <w:b/>
          <w:sz w:val="28"/>
        </w:rPr>
        <w:t>（被授权委托人作为供应商代表时需提供此页）</w:t>
      </w:r>
    </w:p>
    <w:p w14:paraId="5536BB10">
      <w:pPr>
        <w:spacing w:line="440" w:lineRule="atLeast"/>
        <w:rPr>
          <w:rFonts w:ascii="仿宋_GB2312"/>
          <w:bCs/>
          <w:sz w:val="24"/>
        </w:rPr>
      </w:pPr>
      <w:r>
        <w:rPr>
          <w:rFonts w:hint="eastAsia" w:ascii="仿宋_GB2312"/>
          <w:bCs/>
          <w:sz w:val="24"/>
        </w:rPr>
        <w:t xml:space="preserve">  </w:t>
      </w:r>
    </w:p>
    <w:p w14:paraId="2FB329C8">
      <w:pPr>
        <w:spacing w:line="360" w:lineRule="auto"/>
        <w:ind w:left="-36" w:leftChars="-50" w:hanging="69" w:hangingChars="29"/>
        <w:rPr>
          <w:rFonts w:ascii="仿宋_GB2312"/>
          <w:sz w:val="24"/>
        </w:rPr>
      </w:pPr>
      <w:r>
        <w:rPr>
          <w:rFonts w:hint="eastAsia" w:ascii="仿宋_GB2312"/>
          <w:bCs/>
          <w:sz w:val="24"/>
        </w:rPr>
        <w:t xml:space="preserve"> 长春净月高新技术产业开发区政府采购中心</w:t>
      </w:r>
      <w:r>
        <w:rPr>
          <w:rFonts w:hint="eastAsia" w:ascii="仿宋_GB2312"/>
          <w:sz w:val="24"/>
        </w:rPr>
        <w:t>：</w:t>
      </w:r>
    </w:p>
    <w:p w14:paraId="0756B6C0">
      <w:pPr>
        <w:spacing w:line="360" w:lineRule="auto"/>
        <w:ind w:firstLine="480" w:firstLineChars="200"/>
        <w:rPr>
          <w:rFonts w:ascii="仿宋_GB2312"/>
          <w:sz w:val="24"/>
        </w:rPr>
      </w:pPr>
      <w:r>
        <w:rPr>
          <w:rFonts w:hint="eastAsia" w:ascii="仿宋_GB2312"/>
          <w:sz w:val="24"/>
        </w:rPr>
        <w:t>本人</w:t>
      </w:r>
      <w:r>
        <w:rPr>
          <w:rFonts w:hint="eastAsia" w:ascii="仿宋_GB2312"/>
          <w:sz w:val="24"/>
          <w:u w:val="single"/>
        </w:rPr>
        <w:t xml:space="preserve">     </w:t>
      </w:r>
      <w:r>
        <w:rPr>
          <w:rFonts w:ascii="仿宋_GB2312"/>
          <w:sz w:val="24"/>
          <w:u w:val="single"/>
        </w:rPr>
        <w:t xml:space="preserve">  </w:t>
      </w:r>
      <w:r>
        <w:rPr>
          <w:rFonts w:hint="eastAsia" w:ascii="仿宋_GB2312"/>
          <w:sz w:val="24"/>
          <w:u w:val="single"/>
        </w:rPr>
        <w:t xml:space="preserve">    </w:t>
      </w:r>
      <w:r>
        <w:rPr>
          <w:rFonts w:hint="eastAsia" w:ascii="仿宋_GB2312"/>
          <w:sz w:val="24"/>
        </w:rPr>
        <w:t>（姓名）系</w:t>
      </w:r>
      <w:r>
        <w:rPr>
          <w:rFonts w:hint="eastAsia" w:ascii="仿宋_GB2312"/>
          <w:sz w:val="24"/>
          <w:u w:val="single"/>
        </w:rPr>
        <w:t xml:space="preserve">      </w:t>
      </w:r>
      <w:r>
        <w:rPr>
          <w:rFonts w:ascii="仿宋_GB2312"/>
          <w:sz w:val="24"/>
          <w:u w:val="single"/>
        </w:rPr>
        <w:t xml:space="preserve">     </w:t>
      </w:r>
      <w:r>
        <w:rPr>
          <w:rFonts w:hint="eastAsia" w:ascii="仿宋_GB2312"/>
          <w:sz w:val="24"/>
          <w:u w:val="single"/>
        </w:rPr>
        <w:t xml:space="preserve">        </w:t>
      </w:r>
      <w:r>
        <w:rPr>
          <w:rFonts w:hint="eastAsia" w:ascii="仿宋_GB2312"/>
          <w:sz w:val="24"/>
        </w:rPr>
        <w:t>（响应谈判</w:t>
      </w:r>
      <w:r>
        <w:rPr>
          <w:rFonts w:ascii="仿宋_GB2312"/>
          <w:sz w:val="24"/>
        </w:rPr>
        <w:t>供应商</w:t>
      </w:r>
      <w:r>
        <w:rPr>
          <w:rFonts w:hint="eastAsia" w:ascii="仿宋_GB2312"/>
          <w:sz w:val="24"/>
        </w:rPr>
        <w:t>名称）的法定代表人，现授权委托</w:t>
      </w:r>
      <w:r>
        <w:rPr>
          <w:rFonts w:hint="eastAsia" w:ascii="仿宋_GB2312"/>
          <w:sz w:val="24"/>
          <w:u w:val="single"/>
        </w:rPr>
        <w:t xml:space="preserve">       </w:t>
      </w:r>
      <w:r>
        <w:rPr>
          <w:rFonts w:ascii="仿宋_GB2312"/>
          <w:sz w:val="24"/>
          <w:u w:val="single"/>
        </w:rPr>
        <w:t xml:space="preserve"> </w:t>
      </w:r>
      <w:r>
        <w:rPr>
          <w:rFonts w:hint="eastAsia" w:ascii="仿宋_GB2312"/>
          <w:sz w:val="24"/>
          <w:u w:val="single"/>
        </w:rPr>
        <w:t xml:space="preserve">  </w:t>
      </w:r>
      <w:r>
        <w:rPr>
          <w:rFonts w:hint="eastAsia" w:ascii="仿宋_GB2312"/>
          <w:sz w:val="24"/>
        </w:rPr>
        <w:t>（姓名）为被授权委托人，以本公司的名义参加贵中心组织的</w:t>
      </w:r>
      <w:r>
        <w:rPr>
          <w:rFonts w:hint="eastAsia" w:ascii="仿宋_GB2312"/>
          <w:sz w:val="24"/>
          <w:u w:val="single"/>
        </w:rPr>
        <w:t xml:space="preserve">          </w:t>
      </w:r>
      <w:r>
        <w:rPr>
          <w:rFonts w:hint="eastAsia" w:ascii="仿宋_GB2312"/>
          <w:sz w:val="24"/>
        </w:rPr>
        <w:t>项目谈判活动。</w:t>
      </w:r>
    </w:p>
    <w:p w14:paraId="24AD961B">
      <w:pPr>
        <w:spacing w:line="360" w:lineRule="auto"/>
        <w:ind w:left="-50" w:firstLine="645"/>
        <w:rPr>
          <w:rFonts w:ascii="仿宋_GB2312"/>
          <w:sz w:val="24"/>
        </w:rPr>
      </w:pPr>
      <w:r>
        <w:rPr>
          <w:rFonts w:hint="eastAsia" w:ascii="仿宋_GB2312"/>
          <w:sz w:val="24"/>
        </w:rPr>
        <w:t>被授权委托人在解密、评标、谈判</w:t>
      </w:r>
      <w:r>
        <w:rPr>
          <w:rFonts w:ascii="仿宋_GB2312"/>
          <w:sz w:val="24"/>
        </w:rPr>
        <w:t>、</w:t>
      </w:r>
      <w:r>
        <w:rPr>
          <w:rFonts w:hint="eastAsia" w:ascii="仿宋_GB2312"/>
          <w:sz w:val="24"/>
        </w:rPr>
        <w:t>政府采购合同签订及完成过程中签署的一切文件和处理与之有关的一切事务，我均予以承认。</w:t>
      </w:r>
    </w:p>
    <w:p w14:paraId="32643FAF">
      <w:pPr>
        <w:spacing w:line="360" w:lineRule="auto"/>
        <w:ind w:left="-50" w:firstLine="645"/>
        <w:rPr>
          <w:rFonts w:ascii="仿宋_GB2312"/>
          <w:sz w:val="24"/>
        </w:rPr>
      </w:pPr>
      <w:r>
        <w:rPr>
          <w:rFonts w:hint="eastAsia" w:ascii="仿宋_GB2312"/>
          <w:sz w:val="24"/>
        </w:rPr>
        <w:t>被授权</w:t>
      </w:r>
      <w:r>
        <w:rPr>
          <w:rFonts w:ascii="仿宋_GB2312"/>
          <w:sz w:val="24"/>
        </w:rPr>
        <w:t>委托人</w:t>
      </w:r>
      <w:r>
        <w:rPr>
          <w:rFonts w:hint="eastAsia" w:ascii="仿宋_GB2312"/>
          <w:sz w:val="24"/>
        </w:rPr>
        <w:t>无权转让授权。</w:t>
      </w:r>
    </w:p>
    <w:p w14:paraId="4AEBE70D">
      <w:pPr>
        <w:spacing w:line="360" w:lineRule="auto"/>
        <w:ind w:left="-50" w:firstLine="645"/>
        <w:rPr>
          <w:rFonts w:ascii="仿宋_GB2312"/>
          <w:sz w:val="24"/>
        </w:rPr>
      </w:pPr>
      <w:r>
        <w:rPr>
          <w:rFonts w:hint="eastAsia" w:ascii="仿宋_GB2312"/>
          <w:sz w:val="24"/>
        </w:rPr>
        <w:t>特此声明。</w:t>
      </w:r>
    </w:p>
    <w:p w14:paraId="570BCCB1">
      <w:pPr>
        <w:spacing w:line="440" w:lineRule="atLeast"/>
        <w:rPr>
          <w:rFonts w:ascii="仿宋_GB2312"/>
          <w:sz w:val="24"/>
        </w:rPr>
      </w:pPr>
      <w:r>
        <w:rPr>
          <w:rFonts w:hint="eastAsia" w:ascii="仿宋_GB2312"/>
          <w:sz w:val="24"/>
        </w:rPr>
        <w:t xml:space="preserve">被授权委托人：（姓名）       性别：         身份证号码：   </w:t>
      </w:r>
    </w:p>
    <w:p w14:paraId="7AB87C83">
      <w:pPr>
        <w:spacing w:line="440" w:lineRule="atLeast"/>
        <w:rPr>
          <w:rFonts w:ascii="仿宋_GB2312"/>
          <w:sz w:val="24"/>
        </w:rPr>
      </w:pPr>
      <w:r>
        <w:rPr>
          <w:rFonts w:hint="eastAsia" w:ascii="仿宋_GB2312"/>
          <w:sz w:val="24"/>
        </w:rPr>
        <w:t xml:space="preserve">单位名称：                </w:t>
      </w:r>
      <w:r>
        <w:rPr>
          <w:rFonts w:ascii="仿宋_GB2312"/>
          <w:sz w:val="24"/>
        </w:rPr>
        <w:t xml:space="preserve">  </w:t>
      </w:r>
      <w:r>
        <w:rPr>
          <w:rFonts w:hint="eastAsia" w:ascii="仿宋_GB2312"/>
          <w:sz w:val="24"/>
        </w:rPr>
        <w:t xml:space="preserve">职务：         电话：   </w:t>
      </w:r>
    </w:p>
    <w:p w14:paraId="128DA21B">
      <w:pPr>
        <w:spacing w:line="440" w:lineRule="atLeast"/>
        <w:rPr>
          <w:rFonts w:ascii="仿宋_GB2312"/>
          <w:sz w:val="24"/>
        </w:rPr>
      </w:pPr>
    </w:p>
    <w:p w14:paraId="5E90AAAB">
      <w:pPr>
        <w:spacing w:line="360" w:lineRule="auto"/>
        <w:rPr>
          <w:rFonts w:ascii="仿宋_GB2312"/>
          <w:sz w:val="24"/>
        </w:rPr>
      </w:pPr>
    </w:p>
    <w:p w14:paraId="6EF0392F">
      <w:pPr>
        <w:spacing w:line="360" w:lineRule="auto"/>
        <w:jc w:val="center"/>
        <w:rPr>
          <w:rFonts w:ascii="仿宋_GB2312"/>
          <w:sz w:val="24"/>
        </w:rPr>
      </w:pPr>
      <w:r>
        <w:rPr>
          <w:rFonts w:hint="eastAsia" w:ascii="仿宋_GB2312"/>
          <w:sz w:val="24"/>
        </w:rPr>
        <w:t>（被授权委托人身份证正反面）</w:t>
      </w:r>
    </w:p>
    <w:p w14:paraId="10CEC2D4">
      <w:pPr>
        <w:spacing w:line="440" w:lineRule="atLeast"/>
        <w:ind w:firstLine="76" w:firstLineChars="32"/>
        <w:jc w:val="center"/>
        <w:rPr>
          <w:rFonts w:ascii="仿宋_GB2312"/>
          <w:sz w:val="24"/>
        </w:rPr>
      </w:pPr>
      <w:r>
        <w:rPr>
          <w:rFonts w:hint="eastAsia" w:ascii="仿宋_GB2312"/>
          <w:sz w:val="24"/>
        </w:rPr>
        <w:t>（法定代表人身份证正反面）</w:t>
      </w:r>
    </w:p>
    <w:p w14:paraId="6714F124">
      <w:pPr>
        <w:spacing w:line="360" w:lineRule="auto"/>
        <w:jc w:val="center"/>
        <w:rPr>
          <w:rFonts w:ascii="仿宋_GB2312"/>
          <w:sz w:val="24"/>
        </w:rPr>
      </w:pPr>
    </w:p>
    <w:p w14:paraId="2973DFC6">
      <w:pPr>
        <w:spacing w:line="360" w:lineRule="auto"/>
        <w:rPr>
          <w:rFonts w:ascii="仿宋_GB2312"/>
          <w:sz w:val="24"/>
        </w:rPr>
      </w:pPr>
    </w:p>
    <w:p w14:paraId="5D5C85C5">
      <w:pPr>
        <w:spacing w:line="360" w:lineRule="auto"/>
        <w:rPr>
          <w:rFonts w:ascii="仿宋_GB2312"/>
          <w:sz w:val="24"/>
        </w:rPr>
      </w:pPr>
    </w:p>
    <w:p w14:paraId="4184C469">
      <w:pPr>
        <w:spacing w:line="360" w:lineRule="auto"/>
        <w:rPr>
          <w:rFonts w:ascii="仿宋_GB2312"/>
          <w:sz w:val="24"/>
        </w:rPr>
      </w:pPr>
    </w:p>
    <w:p w14:paraId="1D6FD4ED">
      <w:pPr>
        <w:spacing w:line="360" w:lineRule="auto"/>
        <w:rPr>
          <w:rFonts w:ascii="仿宋_GB2312"/>
          <w:sz w:val="24"/>
        </w:rPr>
      </w:pPr>
      <w:r>
        <w:rPr>
          <w:rFonts w:hint="eastAsia" w:ascii="仿宋_GB2312"/>
          <w:sz w:val="24"/>
        </w:rPr>
        <w:t>响应谈判</w:t>
      </w:r>
      <w:r>
        <w:rPr>
          <w:rFonts w:ascii="仿宋_GB2312"/>
          <w:sz w:val="24"/>
        </w:rPr>
        <w:t>供应商</w:t>
      </w:r>
      <w:r>
        <w:rPr>
          <w:rFonts w:hint="eastAsia" w:ascii="仿宋_GB2312"/>
          <w:sz w:val="24"/>
        </w:rPr>
        <w:t>：（盖公章）</w:t>
      </w:r>
    </w:p>
    <w:p w14:paraId="66484756">
      <w:pPr>
        <w:spacing w:line="360" w:lineRule="auto"/>
        <w:rPr>
          <w:rFonts w:ascii="仿宋_GB2312"/>
          <w:sz w:val="24"/>
        </w:rPr>
      </w:pPr>
    </w:p>
    <w:p w14:paraId="7DE593C4">
      <w:pPr>
        <w:spacing w:line="360" w:lineRule="auto"/>
        <w:rPr>
          <w:rFonts w:ascii="仿宋_GB2312"/>
          <w:sz w:val="24"/>
        </w:rPr>
      </w:pPr>
      <w:r>
        <w:rPr>
          <w:rFonts w:hint="eastAsia" w:ascii="仿宋_GB2312"/>
          <w:sz w:val="24"/>
        </w:rPr>
        <w:t>法定代表人：（签字或盖章）</w:t>
      </w:r>
    </w:p>
    <w:p w14:paraId="6B62CB20">
      <w:pPr>
        <w:spacing w:line="360" w:lineRule="auto"/>
        <w:rPr>
          <w:rFonts w:ascii="仿宋_GB2312"/>
          <w:sz w:val="24"/>
        </w:rPr>
      </w:pPr>
    </w:p>
    <w:p w14:paraId="48176D75">
      <w:pPr>
        <w:spacing w:line="360" w:lineRule="auto"/>
        <w:rPr>
          <w:rFonts w:ascii="仿宋_GB2312"/>
          <w:sz w:val="24"/>
        </w:rPr>
      </w:pPr>
      <w:r>
        <w:rPr>
          <w:rFonts w:hint="eastAsia" w:ascii="仿宋_GB2312"/>
          <w:sz w:val="24"/>
        </w:rPr>
        <w:t>被授权委托人：（签字或盖章）</w:t>
      </w:r>
    </w:p>
    <w:p w14:paraId="45CEEB75">
      <w:pPr>
        <w:spacing w:line="360" w:lineRule="auto"/>
        <w:jc w:val="left"/>
        <w:rPr>
          <w:rFonts w:ascii="仿宋_GB2312"/>
          <w:sz w:val="24"/>
        </w:rPr>
      </w:pPr>
    </w:p>
    <w:p w14:paraId="2E2BCC0F">
      <w:pPr>
        <w:spacing w:line="360" w:lineRule="auto"/>
        <w:jc w:val="left"/>
        <w:rPr>
          <w:rFonts w:ascii="仿宋_GB2312"/>
          <w:sz w:val="24"/>
        </w:rPr>
      </w:pPr>
      <w:r>
        <w:rPr>
          <w:rFonts w:hint="eastAsia" w:ascii="仿宋_GB2312"/>
          <w:sz w:val="24"/>
        </w:rPr>
        <w:t>年   月   日</w:t>
      </w:r>
    </w:p>
    <w:p w14:paraId="61402C25">
      <w:pPr>
        <w:spacing w:line="360" w:lineRule="auto"/>
        <w:rPr>
          <w:rFonts w:ascii="宋体" w:hAnsi="宋体"/>
          <w:sz w:val="24"/>
        </w:rPr>
      </w:pPr>
    </w:p>
    <w:p w14:paraId="6500572D">
      <w:pPr>
        <w:spacing w:line="360" w:lineRule="auto"/>
        <w:rPr>
          <w:rFonts w:hint="eastAsia" w:ascii="宋体" w:hAnsi="宋体"/>
          <w:sz w:val="24"/>
        </w:rPr>
      </w:pPr>
    </w:p>
    <w:p w14:paraId="64FCE561">
      <w:pPr>
        <w:spacing w:line="360" w:lineRule="auto"/>
        <w:rPr>
          <w:rFonts w:hint="eastAsia" w:ascii="宋体" w:hAnsi="宋体"/>
          <w:sz w:val="24"/>
        </w:rPr>
      </w:pPr>
    </w:p>
    <w:p w14:paraId="3F3D8F51">
      <w:pPr>
        <w:spacing w:line="360" w:lineRule="auto"/>
        <w:rPr>
          <w:rFonts w:ascii="宋体" w:hAnsi="宋体"/>
          <w:sz w:val="24"/>
        </w:rPr>
      </w:pPr>
      <w:r>
        <w:rPr>
          <w:rFonts w:hint="eastAsia" w:ascii="宋体" w:hAnsi="宋体"/>
          <w:sz w:val="24"/>
        </w:rPr>
        <w:t>三、 响应谈判</w:t>
      </w:r>
      <w:r>
        <w:rPr>
          <w:rFonts w:ascii="宋体" w:hAnsi="宋体"/>
          <w:sz w:val="24"/>
        </w:rPr>
        <w:t>供应商</w:t>
      </w:r>
      <w:r>
        <w:rPr>
          <w:rFonts w:hint="eastAsia" w:ascii="宋体" w:hAnsi="宋体"/>
          <w:sz w:val="24"/>
          <w:szCs w:val="22"/>
        </w:rPr>
        <w:t>资格</w:t>
      </w:r>
      <w:r>
        <w:rPr>
          <w:rFonts w:ascii="宋体" w:hAnsi="宋体"/>
          <w:sz w:val="24"/>
          <w:szCs w:val="22"/>
        </w:rPr>
        <w:t>条件承诺函</w:t>
      </w:r>
      <w:r>
        <w:rPr>
          <w:rFonts w:hint="eastAsia" w:ascii="宋体" w:hAnsi="宋体"/>
          <w:sz w:val="24"/>
          <w:szCs w:val="22"/>
        </w:rPr>
        <w:t>；</w:t>
      </w:r>
    </w:p>
    <w:p w14:paraId="37AFDD62">
      <w:pPr>
        <w:jc w:val="center"/>
        <w:rPr>
          <w:sz w:val="44"/>
        </w:rPr>
      </w:pPr>
    </w:p>
    <w:p w14:paraId="70CCD2F6">
      <w:pPr>
        <w:jc w:val="center"/>
        <w:rPr>
          <w:sz w:val="44"/>
        </w:rPr>
      </w:pPr>
      <w:r>
        <w:rPr>
          <w:rFonts w:hint="eastAsia"/>
          <w:sz w:val="44"/>
        </w:rPr>
        <w:t>资格条件承诺函</w:t>
      </w:r>
    </w:p>
    <w:p w14:paraId="7CC629D0"/>
    <w:p w14:paraId="593F19E8"/>
    <w:p w14:paraId="64D1B12C">
      <w:pPr>
        <w:spacing w:line="360" w:lineRule="auto"/>
        <w:rPr>
          <w:sz w:val="28"/>
          <w:u w:val="single"/>
        </w:rPr>
      </w:pPr>
      <w:r>
        <w:rPr>
          <w:rFonts w:hint="eastAsia"/>
          <w:sz w:val="28"/>
        </w:rPr>
        <w:t>致：</w:t>
      </w:r>
      <w:r>
        <w:rPr>
          <w:rFonts w:hint="eastAsia"/>
          <w:sz w:val="28"/>
          <w:u w:val="single"/>
        </w:rPr>
        <w:t xml:space="preserve"> （采购人、采购代理机构） </w:t>
      </w:r>
    </w:p>
    <w:p w14:paraId="5B86C14B">
      <w:pPr>
        <w:spacing w:line="360" w:lineRule="auto"/>
        <w:ind w:firstLine="560" w:firstLineChars="200"/>
        <w:rPr>
          <w:sz w:val="28"/>
        </w:rPr>
      </w:pPr>
      <w:r>
        <w:rPr>
          <w:rFonts w:hint="eastAsia"/>
          <w:sz w:val="28"/>
        </w:rPr>
        <w:t>我单位（公司）参与</w:t>
      </w:r>
      <w:r>
        <w:rPr>
          <w:rFonts w:hint="eastAsia"/>
          <w:sz w:val="28"/>
          <w:u w:val="single"/>
        </w:rPr>
        <w:t xml:space="preserve"> （采购项目名称</w:t>
      </w:r>
      <w:r>
        <w:rPr>
          <w:rFonts w:hint="eastAsia"/>
          <w:sz w:val="28"/>
          <w:u w:val="single"/>
        </w:rPr>
        <w:tab/>
      </w:r>
      <w:r>
        <w:rPr>
          <w:rFonts w:hint="eastAsia"/>
          <w:sz w:val="28"/>
          <w:u w:val="single"/>
        </w:rPr>
        <w:t xml:space="preserve">项目编号） </w:t>
      </w:r>
      <w:r>
        <w:rPr>
          <w:rFonts w:hint="eastAsia"/>
          <w:sz w:val="28"/>
        </w:rPr>
        <w:t>采购项目的政府采购活动，现承诺如下：</w:t>
      </w:r>
    </w:p>
    <w:p w14:paraId="5BB2520E">
      <w:pPr>
        <w:pStyle w:val="69"/>
        <w:numPr>
          <w:ilvl w:val="0"/>
          <w:numId w:val="14"/>
        </w:numPr>
        <w:spacing w:line="360" w:lineRule="auto"/>
        <w:ind w:left="1680" w:firstLine="560"/>
        <w:rPr>
          <w:sz w:val="28"/>
        </w:rPr>
      </w:pPr>
      <w:r>
        <w:rPr>
          <w:rFonts w:hint="eastAsia"/>
          <w:sz w:val="28"/>
        </w:rPr>
        <w:t>具有良好的商业信誉和健全的财务会计制度；</w:t>
      </w:r>
    </w:p>
    <w:p w14:paraId="6302CDEF">
      <w:pPr>
        <w:pStyle w:val="69"/>
        <w:numPr>
          <w:ilvl w:val="0"/>
          <w:numId w:val="14"/>
        </w:numPr>
        <w:spacing w:line="360" w:lineRule="auto"/>
        <w:ind w:left="1680" w:firstLine="560"/>
        <w:rPr>
          <w:sz w:val="28"/>
        </w:rPr>
      </w:pPr>
      <w:r>
        <w:rPr>
          <w:rFonts w:hint="eastAsia"/>
          <w:sz w:val="28"/>
        </w:rPr>
        <w:t>具有依法缴纳税收的良好记录；</w:t>
      </w:r>
    </w:p>
    <w:p w14:paraId="7DA32469">
      <w:pPr>
        <w:pStyle w:val="69"/>
        <w:numPr>
          <w:ilvl w:val="0"/>
          <w:numId w:val="14"/>
        </w:numPr>
        <w:spacing w:line="360" w:lineRule="auto"/>
        <w:ind w:left="1680" w:firstLine="560"/>
        <w:rPr>
          <w:sz w:val="28"/>
        </w:rPr>
      </w:pPr>
      <w:r>
        <w:rPr>
          <w:rFonts w:hint="eastAsia"/>
          <w:sz w:val="28"/>
        </w:rPr>
        <w:t>具有依法缴纳社会保障金的良好记录。</w:t>
      </w:r>
    </w:p>
    <w:p w14:paraId="76B8C122">
      <w:pPr>
        <w:spacing w:line="360" w:lineRule="auto"/>
        <w:ind w:firstLine="560" w:firstLineChars="200"/>
        <w:rPr>
          <w:sz w:val="28"/>
        </w:rPr>
      </w:pPr>
      <w:r>
        <w:rPr>
          <w:rFonts w:hint="eastAsia"/>
          <w:sz w:val="28"/>
        </w:rPr>
        <w:t>我方在采购项目评审（评标）环节结束后，随时接受采购人、采购代理机构的检查验证，配合提供相关证明材料，证明符合《中华人民共和国政府采购法》规定的供应商基本资格条件。</w:t>
      </w:r>
    </w:p>
    <w:p w14:paraId="28D63242">
      <w:pPr>
        <w:spacing w:line="360" w:lineRule="auto"/>
        <w:ind w:firstLine="560" w:firstLineChars="200"/>
        <w:rPr>
          <w:sz w:val="28"/>
        </w:rPr>
      </w:pPr>
      <w:r>
        <w:rPr>
          <w:rFonts w:hint="eastAsia"/>
          <w:sz w:val="28"/>
        </w:rPr>
        <w:t>我单位（公司）对上述承诺的真实性负责。如有虚假，将依法承担相应责任。</w:t>
      </w:r>
    </w:p>
    <w:p w14:paraId="3C52E006">
      <w:pPr>
        <w:spacing w:line="360" w:lineRule="auto"/>
        <w:ind w:firstLine="560" w:firstLineChars="200"/>
        <w:rPr>
          <w:sz w:val="28"/>
        </w:rPr>
      </w:pPr>
      <w:r>
        <w:rPr>
          <w:rFonts w:hint="eastAsia"/>
          <w:sz w:val="28"/>
        </w:rPr>
        <w:t>特此承诺。</w:t>
      </w:r>
    </w:p>
    <w:p w14:paraId="52691C0C">
      <w:pPr>
        <w:spacing w:line="360" w:lineRule="auto"/>
        <w:rPr>
          <w:sz w:val="28"/>
        </w:rPr>
      </w:pPr>
    </w:p>
    <w:p w14:paraId="2565D858">
      <w:pPr>
        <w:spacing w:line="360" w:lineRule="auto"/>
        <w:rPr>
          <w:sz w:val="28"/>
        </w:rPr>
      </w:pPr>
    </w:p>
    <w:p w14:paraId="4F297598">
      <w:pPr>
        <w:spacing w:line="360" w:lineRule="auto"/>
        <w:ind w:left="2692" w:leftChars="1282"/>
        <w:rPr>
          <w:sz w:val="28"/>
        </w:rPr>
      </w:pPr>
      <w:r>
        <w:rPr>
          <w:rFonts w:hint="eastAsia"/>
          <w:sz w:val="28"/>
        </w:rPr>
        <w:t>供应商</w:t>
      </w:r>
      <w:r>
        <w:rPr>
          <w:sz w:val="28"/>
        </w:rPr>
        <w:t>名称（</w:t>
      </w:r>
      <w:r>
        <w:rPr>
          <w:rFonts w:hint="eastAsia"/>
          <w:sz w:val="28"/>
        </w:rPr>
        <w:t>加盖公章</w:t>
      </w:r>
      <w:r>
        <w:rPr>
          <w:sz w:val="28"/>
        </w:rPr>
        <w:t>）</w:t>
      </w:r>
      <w:r>
        <w:rPr>
          <w:rFonts w:hint="eastAsia"/>
          <w:sz w:val="28"/>
        </w:rPr>
        <w:t>：</w:t>
      </w:r>
    </w:p>
    <w:p w14:paraId="049128F5">
      <w:pPr>
        <w:spacing w:line="360" w:lineRule="auto"/>
        <w:ind w:left="2692" w:leftChars="1282"/>
        <w:rPr>
          <w:sz w:val="28"/>
        </w:rPr>
      </w:pPr>
      <w:r>
        <w:rPr>
          <w:rFonts w:hint="eastAsia"/>
          <w:sz w:val="28"/>
        </w:rPr>
        <w:t>法定</w:t>
      </w:r>
      <w:r>
        <w:rPr>
          <w:sz w:val="28"/>
        </w:rPr>
        <w:t>代表人或被授权委托人</w:t>
      </w:r>
      <w:r>
        <w:rPr>
          <w:rFonts w:hint="eastAsia"/>
          <w:sz w:val="28"/>
        </w:rPr>
        <w:t>（签字或</w:t>
      </w:r>
      <w:r>
        <w:rPr>
          <w:sz w:val="28"/>
        </w:rPr>
        <w:t>盖章</w:t>
      </w:r>
      <w:r>
        <w:rPr>
          <w:rFonts w:hint="eastAsia"/>
          <w:sz w:val="28"/>
        </w:rPr>
        <w:t>）：</w:t>
      </w:r>
    </w:p>
    <w:p w14:paraId="4FDCDF39">
      <w:pPr>
        <w:spacing w:line="360" w:lineRule="auto"/>
        <w:ind w:left="2692" w:leftChars="1282"/>
        <w:rPr>
          <w:sz w:val="28"/>
        </w:rPr>
      </w:pPr>
      <w:r>
        <w:rPr>
          <w:rFonts w:hint="eastAsia"/>
          <w:sz w:val="28"/>
        </w:rPr>
        <w:t>日期</w:t>
      </w:r>
      <w:r>
        <w:rPr>
          <w:sz w:val="28"/>
        </w:rPr>
        <w:t>：</w:t>
      </w:r>
    </w:p>
    <w:p w14:paraId="676C6B97">
      <w:pPr>
        <w:spacing w:line="360" w:lineRule="auto"/>
        <w:rPr>
          <w:rFonts w:ascii="宋体" w:hAnsi="宋体"/>
          <w:sz w:val="24"/>
        </w:rPr>
      </w:pPr>
    </w:p>
    <w:p w14:paraId="4568708C">
      <w:pPr>
        <w:spacing w:line="360" w:lineRule="auto"/>
        <w:rPr>
          <w:rFonts w:ascii="宋体" w:hAnsi="宋体"/>
          <w:sz w:val="24"/>
        </w:rPr>
      </w:pPr>
    </w:p>
    <w:p w14:paraId="52B28BE4">
      <w:pPr>
        <w:spacing w:line="360" w:lineRule="auto"/>
        <w:rPr>
          <w:rFonts w:ascii="宋体" w:hAnsi="宋体"/>
          <w:sz w:val="24"/>
        </w:rPr>
      </w:pPr>
    </w:p>
    <w:p w14:paraId="26AD8C49">
      <w:pPr>
        <w:spacing w:line="360" w:lineRule="auto"/>
        <w:rPr>
          <w:rFonts w:ascii="宋体" w:hAnsi="宋体"/>
          <w:sz w:val="24"/>
        </w:rPr>
      </w:pPr>
    </w:p>
    <w:p w14:paraId="6AEB99EB">
      <w:pPr>
        <w:spacing w:line="360" w:lineRule="auto"/>
        <w:rPr>
          <w:rFonts w:ascii="宋体" w:hAnsi="宋体"/>
          <w:sz w:val="24"/>
        </w:rPr>
      </w:pPr>
    </w:p>
    <w:p w14:paraId="6B7CBE8F">
      <w:pPr>
        <w:spacing w:line="360" w:lineRule="auto"/>
        <w:rPr>
          <w:rFonts w:ascii="宋体" w:hAnsi="宋体"/>
          <w:sz w:val="24"/>
        </w:rPr>
      </w:pPr>
    </w:p>
    <w:p w14:paraId="2BA76D42">
      <w:pPr>
        <w:spacing w:line="360" w:lineRule="auto"/>
        <w:rPr>
          <w:rFonts w:ascii="宋体" w:hAnsi="宋体"/>
          <w:sz w:val="24"/>
        </w:rPr>
      </w:pPr>
    </w:p>
    <w:p w14:paraId="511759D0">
      <w:pPr>
        <w:spacing w:line="360" w:lineRule="auto"/>
        <w:rPr>
          <w:rFonts w:ascii="宋体" w:hAnsi="宋体"/>
          <w:sz w:val="24"/>
        </w:rPr>
      </w:pPr>
      <w:r>
        <w:rPr>
          <w:rFonts w:hint="eastAsia" w:ascii="宋体" w:hAnsi="宋体"/>
          <w:sz w:val="24"/>
        </w:rPr>
        <w:t>四、“信用中国”网站、中国政府采购网没有失信行为的证明材料；（查询截图）</w:t>
      </w:r>
    </w:p>
    <w:p w14:paraId="07DD5C6E">
      <w:pPr>
        <w:spacing w:line="360" w:lineRule="auto"/>
        <w:rPr>
          <w:rFonts w:ascii="宋体" w:hAnsi="宋体"/>
          <w:sz w:val="24"/>
        </w:rPr>
      </w:pPr>
    </w:p>
    <w:p w14:paraId="522F8F99">
      <w:pPr>
        <w:spacing w:line="360" w:lineRule="auto"/>
        <w:rPr>
          <w:rFonts w:ascii="宋体" w:hAnsi="宋体"/>
          <w:sz w:val="24"/>
        </w:rPr>
      </w:pPr>
    </w:p>
    <w:p w14:paraId="05A4BDCC">
      <w:pPr>
        <w:spacing w:line="360" w:lineRule="auto"/>
        <w:rPr>
          <w:rFonts w:ascii="宋体" w:hAnsi="宋体"/>
          <w:sz w:val="24"/>
        </w:rPr>
      </w:pPr>
    </w:p>
    <w:p w14:paraId="1C11ED17">
      <w:pPr>
        <w:spacing w:line="360" w:lineRule="auto"/>
        <w:rPr>
          <w:rFonts w:ascii="宋体" w:hAnsi="宋体"/>
          <w:sz w:val="24"/>
        </w:rPr>
      </w:pPr>
    </w:p>
    <w:p w14:paraId="76C144BF">
      <w:pPr>
        <w:spacing w:line="360" w:lineRule="auto"/>
        <w:rPr>
          <w:rFonts w:ascii="宋体" w:hAnsi="宋体"/>
          <w:sz w:val="24"/>
        </w:rPr>
      </w:pPr>
    </w:p>
    <w:p w14:paraId="6F7758D5">
      <w:pPr>
        <w:spacing w:line="360" w:lineRule="auto"/>
        <w:rPr>
          <w:rFonts w:ascii="宋体" w:hAnsi="宋体"/>
          <w:sz w:val="24"/>
        </w:rPr>
      </w:pPr>
    </w:p>
    <w:p w14:paraId="5097D08C">
      <w:pPr>
        <w:spacing w:line="360" w:lineRule="auto"/>
        <w:rPr>
          <w:rFonts w:ascii="宋体" w:hAnsi="宋体"/>
          <w:sz w:val="24"/>
        </w:rPr>
      </w:pPr>
      <w:r>
        <w:rPr>
          <w:rFonts w:hint="eastAsia" w:ascii="宋体" w:hAnsi="宋体"/>
          <w:sz w:val="24"/>
        </w:rPr>
        <w:t>五、响应谈判供应商2023年至今在经营活动中没有重大违法记录的书面声明，同时须附中国裁判文书网无行贿犯罪行为的证明材料。</w:t>
      </w:r>
    </w:p>
    <w:p w14:paraId="6B287DB9">
      <w:pPr>
        <w:rPr>
          <w:rFonts w:ascii="宋体" w:hAnsi="宋体"/>
          <w:sz w:val="24"/>
        </w:rPr>
      </w:pPr>
      <w:r>
        <w:rPr>
          <w:rFonts w:hint="eastAsia" w:ascii="宋体" w:hAnsi="宋体"/>
          <w:sz w:val="24"/>
        </w:rPr>
        <w:t>1、书面声明</w:t>
      </w:r>
    </w:p>
    <w:p w14:paraId="0B6C0D82">
      <w:pPr>
        <w:rPr>
          <w:rFonts w:ascii="宋体" w:hAnsi="宋体"/>
          <w:sz w:val="24"/>
        </w:rPr>
      </w:pPr>
    </w:p>
    <w:p w14:paraId="4B4EEBE6">
      <w:pPr>
        <w:ind w:firstLine="480" w:firstLineChars="200"/>
        <w:rPr>
          <w:rFonts w:ascii="宋体" w:hAnsi="宋体"/>
          <w:sz w:val="24"/>
        </w:rPr>
      </w:pPr>
      <w:r>
        <w:rPr>
          <w:rFonts w:hint="eastAsia" w:ascii="宋体" w:hAnsi="宋体"/>
          <w:sz w:val="24"/>
        </w:rPr>
        <w:t>本公司郑重声明，根据《中华人民共和国政府采购法实施条例》的规定，本公司2023年至今在经营活动中没有重大违法记录， 本声明所称重大违法记录，是指响应磋商供应商因违法经营受到刑事处罚或者责令停产停业、吊销许可证或者执照、较大数额罚款等行政处罚。</w:t>
      </w:r>
    </w:p>
    <w:p w14:paraId="2DBCAED2">
      <w:pPr>
        <w:ind w:firstLine="480" w:firstLineChars="200"/>
        <w:rPr>
          <w:rFonts w:ascii="宋体" w:hAnsi="宋体"/>
          <w:sz w:val="24"/>
        </w:rPr>
      </w:pPr>
      <w:r>
        <w:rPr>
          <w:rFonts w:hint="eastAsia" w:ascii="宋体" w:hAnsi="宋体"/>
          <w:sz w:val="24"/>
        </w:rPr>
        <w:t>本公司对上述声明的真实性负责。如有虚假，将依法承担相应责任。</w:t>
      </w:r>
    </w:p>
    <w:p w14:paraId="3A8B8714">
      <w:pPr>
        <w:rPr>
          <w:rFonts w:ascii="宋体" w:hAnsi="宋体"/>
          <w:sz w:val="24"/>
        </w:rPr>
      </w:pPr>
    </w:p>
    <w:p w14:paraId="15C9ED79">
      <w:pPr>
        <w:rPr>
          <w:rFonts w:ascii="宋体" w:hAnsi="宋体"/>
          <w:sz w:val="24"/>
        </w:rPr>
      </w:pPr>
    </w:p>
    <w:p w14:paraId="7EA80150">
      <w:pPr>
        <w:rPr>
          <w:rFonts w:ascii="宋体" w:hAnsi="宋体"/>
          <w:sz w:val="24"/>
        </w:rPr>
      </w:pPr>
    </w:p>
    <w:p w14:paraId="0E474969">
      <w:pPr>
        <w:rPr>
          <w:rFonts w:ascii="宋体" w:hAnsi="宋体"/>
          <w:sz w:val="24"/>
        </w:rPr>
      </w:pPr>
    </w:p>
    <w:p w14:paraId="5FD7F19F">
      <w:pPr>
        <w:ind w:firstLine="5160" w:firstLineChars="2150"/>
        <w:rPr>
          <w:rFonts w:ascii="宋体" w:hAnsi="宋体"/>
          <w:sz w:val="24"/>
        </w:rPr>
      </w:pPr>
      <w:r>
        <w:rPr>
          <w:rFonts w:hint="eastAsia" w:ascii="宋体" w:hAnsi="宋体"/>
          <w:sz w:val="24"/>
        </w:rPr>
        <w:t xml:space="preserve">供 应 商 名 称（签章）：                               </w:t>
      </w:r>
    </w:p>
    <w:p w14:paraId="7A5D4E9A">
      <w:pPr>
        <w:ind w:firstLine="4440" w:firstLineChars="1850"/>
        <w:rPr>
          <w:rFonts w:ascii="宋体" w:hAnsi="宋体"/>
          <w:sz w:val="24"/>
        </w:rPr>
      </w:pPr>
      <w:r>
        <w:rPr>
          <w:rFonts w:hint="eastAsia" w:ascii="宋体" w:hAnsi="宋体"/>
          <w:sz w:val="24"/>
        </w:rPr>
        <w:t xml:space="preserve">法定代表人（单位负责人）（签章）：                     </w:t>
      </w:r>
    </w:p>
    <w:p w14:paraId="689D7516">
      <w:pPr>
        <w:ind w:firstLine="5400" w:firstLineChars="2250"/>
        <w:rPr>
          <w:rFonts w:ascii="宋体" w:hAnsi="宋体"/>
          <w:sz w:val="24"/>
        </w:rPr>
      </w:pPr>
      <w:r>
        <w:rPr>
          <w:rFonts w:hint="eastAsia" w:ascii="宋体" w:hAnsi="宋体"/>
          <w:sz w:val="24"/>
        </w:rPr>
        <w:t>日期：        年     月     日</w:t>
      </w:r>
    </w:p>
    <w:p w14:paraId="7BA1B2AB">
      <w:pPr>
        <w:rPr>
          <w:rFonts w:ascii="宋体" w:hAnsi="宋体"/>
          <w:sz w:val="36"/>
          <w:szCs w:val="36"/>
          <w:u w:val="single"/>
        </w:rPr>
      </w:pPr>
    </w:p>
    <w:p w14:paraId="0550369F">
      <w:pPr>
        <w:rPr>
          <w:rFonts w:ascii="宋体" w:hAnsi="宋体"/>
          <w:sz w:val="36"/>
          <w:szCs w:val="36"/>
          <w:u w:val="single"/>
        </w:rPr>
      </w:pPr>
    </w:p>
    <w:p w14:paraId="714C25D6">
      <w:pPr>
        <w:rPr>
          <w:rFonts w:ascii="宋体" w:hAnsi="宋体"/>
          <w:sz w:val="24"/>
        </w:rPr>
      </w:pPr>
      <w:r>
        <w:rPr>
          <w:rFonts w:hint="eastAsia" w:ascii="宋体" w:hAnsi="宋体"/>
          <w:sz w:val="24"/>
        </w:rPr>
        <w:t>2、“中国裁判文书网”无行贿犯罪查询结果的证明材料；</w:t>
      </w:r>
      <w:bookmarkStart w:id="49" w:name="OLE_LINK26"/>
      <w:bookmarkStart w:id="50" w:name="OLE_LINK27"/>
      <w:r>
        <w:rPr>
          <w:rFonts w:hint="eastAsia" w:ascii="宋体" w:hAnsi="宋体"/>
          <w:sz w:val="24"/>
        </w:rPr>
        <w:t>（查询截图）</w:t>
      </w:r>
      <w:bookmarkEnd w:id="49"/>
      <w:bookmarkEnd w:id="50"/>
    </w:p>
    <w:p w14:paraId="115465CD">
      <w:pPr>
        <w:rPr>
          <w:rFonts w:ascii="宋体" w:hAnsi="宋体"/>
          <w:sz w:val="24"/>
        </w:rPr>
      </w:pPr>
    </w:p>
    <w:p w14:paraId="6DD2220B">
      <w:pPr>
        <w:rPr>
          <w:rFonts w:ascii="宋体" w:hAnsi="宋体"/>
          <w:sz w:val="36"/>
          <w:szCs w:val="36"/>
          <w:u w:val="single"/>
        </w:rPr>
      </w:pPr>
    </w:p>
    <w:p w14:paraId="3170DF28">
      <w:pPr>
        <w:rPr>
          <w:rFonts w:ascii="宋体" w:hAnsi="宋体"/>
          <w:sz w:val="36"/>
          <w:szCs w:val="36"/>
          <w:u w:val="single"/>
        </w:rPr>
      </w:pPr>
    </w:p>
    <w:p w14:paraId="522DCF62">
      <w:pPr>
        <w:rPr>
          <w:rFonts w:ascii="宋体" w:hAnsi="宋体"/>
          <w:sz w:val="36"/>
          <w:szCs w:val="36"/>
          <w:u w:val="single"/>
        </w:rPr>
      </w:pPr>
    </w:p>
    <w:p w14:paraId="4279B1E0">
      <w:pPr>
        <w:rPr>
          <w:rFonts w:ascii="宋体" w:hAnsi="宋体"/>
          <w:sz w:val="36"/>
          <w:szCs w:val="36"/>
          <w:u w:val="single"/>
        </w:rPr>
      </w:pPr>
    </w:p>
    <w:p w14:paraId="51A9BEF5">
      <w:pPr>
        <w:rPr>
          <w:rFonts w:ascii="宋体" w:hAnsi="宋体"/>
          <w:sz w:val="36"/>
          <w:szCs w:val="36"/>
          <w:u w:val="single"/>
        </w:rPr>
      </w:pPr>
    </w:p>
    <w:p w14:paraId="780F9C03">
      <w:pPr>
        <w:rPr>
          <w:rFonts w:ascii="宋体" w:hAnsi="宋体"/>
          <w:sz w:val="36"/>
          <w:szCs w:val="36"/>
          <w:u w:val="single"/>
        </w:rPr>
      </w:pPr>
    </w:p>
    <w:p w14:paraId="09E10539">
      <w:pPr>
        <w:rPr>
          <w:rFonts w:ascii="宋体" w:hAnsi="宋体"/>
          <w:sz w:val="36"/>
          <w:szCs w:val="36"/>
          <w:u w:val="single"/>
        </w:rPr>
      </w:pPr>
    </w:p>
    <w:p w14:paraId="1891FF00">
      <w:pPr>
        <w:rPr>
          <w:rFonts w:ascii="宋体" w:hAnsi="宋体"/>
          <w:sz w:val="36"/>
          <w:szCs w:val="36"/>
          <w:u w:val="single"/>
        </w:rPr>
      </w:pPr>
    </w:p>
    <w:p w14:paraId="33F06BAE">
      <w:pPr>
        <w:rPr>
          <w:rFonts w:ascii="宋体" w:hAnsi="宋体"/>
          <w:sz w:val="36"/>
          <w:szCs w:val="36"/>
          <w:u w:val="single"/>
        </w:rPr>
      </w:pPr>
    </w:p>
    <w:p w14:paraId="295FD365">
      <w:pPr>
        <w:spacing w:line="440" w:lineRule="atLeast"/>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六</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投标人中小企业声明函</w:t>
      </w:r>
    </w:p>
    <w:p w14:paraId="5C3D93B8">
      <w:pPr>
        <w:rPr>
          <w:rFonts w:ascii="宋体" w:hAnsi="宋体"/>
          <w:color w:val="000000" w:themeColor="text1"/>
          <w:sz w:val="24"/>
          <w14:textFill>
            <w14:solidFill>
              <w14:schemeClr w14:val="tx1"/>
            </w14:solidFill>
          </w14:textFill>
        </w:rPr>
      </w:pPr>
    </w:p>
    <w:p w14:paraId="4158E55E">
      <w:pPr>
        <w:rPr>
          <w:rFonts w:ascii="宋体" w:hAnsi="宋体"/>
          <w:color w:val="000000" w:themeColor="text1"/>
          <w:sz w:val="24"/>
          <w14:textFill>
            <w14:solidFill>
              <w14:schemeClr w14:val="tx1"/>
            </w14:solidFill>
          </w14:textFill>
        </w:rPr>
      </w:pPr>
    </w:p>
    <w:p w14:paraId="0A6413BB">
      <w:pPr>
        <w:jc w:val="center"/>
        <w:rPr>
          <w:rFonts w:ascii="宋体" w:hAnsi="宋体"/>
          <w:color w:val="000000" w:themeColor="text1"/>
          <w:sz w:val="24"/>
          <w14:textFill>
            <w14:solidFill>
              <w14:schemeClr w14:val="tx1"/>
            </w14:solidFill>
          </w14:textFill>
        </w:rPr>
      </w:pPr>
      <w:r>
        <w:rPr>
          <w:rFonts w:hint="eastAsia" w:ascii="宋体" w:hAnsi="宋体"/>
          <w:b/>
          <w:color w:val="000000" w:themeColor="text1"/>
          <w:sz w:val="28"/>
          <w14:textFill>
            <w14:solidFill>
              <w14:schemeClr w14:val="tx1"/>
            </w14:solidFill>
          </w14:textFill>
        </w:rPr>
        <w:t>中小企业声明函</w:t>
      </w:r>
    </w:p>
    <w:p w14:paraId="3C559279">
      <w:pPr>
        <w:rPr>
          <w:rFonts w:ascii="宋体" w:hAnsi="宋体"/>
          <w:color w:val="000000" w:themeColor="text1"/>
          <w:sz w:val="24"/>
          <w14:textFill>
            <w14:solidFill>
              <w14:schemeClr w14:val="tx1"/>
            </w14:solidFill>
          </w14:textFill>
        </w:rPr>
      </w:pPr>
    </w:p>
    <w:p w14:paraId="39E105DF">
      <w:pPr>
        <w:rPr>
          <w:rFonts w:ascii="宋体" w:hAnsi="宋体"/>
          <w:color w:val="000000" w:themeColor="text1"/>
          <w:sz w:val="24"/>
          <w14:textFill>
            <w14:solidFill>
              <w14:schemeClr w14:val="tx1"/>
            </w14:solidFill>
          </w14:textFill>
        </w:rPr>
      </w:pPr>
    </w:p>
    <w:p w14:paraId="08AB14A8">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本公司（联合体）郑重声明，根据《政府采购促进中小企业发展管理办法》（财库﹝2020﹞46 号）的规定，本公司（联合体）参加</w:t>
      </w:r>
      <w:r>
        <w:rPr>
          <w:rFonts w:hint="eastAsia" w:ascii="宋体" w:hAnsi="宋体"/>
          <w:i/>
          <w:iCs/>
          <w:color w:val="000000" w:themeColor="text1"/>
          <w:sz w:val="24"/>
          <w:u w:val="single"/>
          <w14:textFill>
            <w14:solidFill>
              <w14:schemeClr w14:val="tx1"/>
            </w14:solidFill>
          </w14:textFill>
        </w:rPr>
        <w:t>（单位名称）</w:t>
      </w:r>
      <w:r>
        <w:rPr>
          <w:rFonts w:hint="eastAsia" w:ascii="宋体" w:hAnsi="宋体"/>
          <w:color w:val="000000" w:themeColor="text1"/>
          <w:sz w:val="24"/>
          <w14:textFill>
            <w14:solidFill>
              <w14:schemeClr w14:val="tx1"/>
            </w14:solidFill>
          </w14:textFill>
        </w:rPr>
        <w:t>的</w:t>
      </w:r>
      <w:r>
        <w:rPr>
          <w:rFonts w:hint="eastAsia" w:ascii="宋体" w:hAnsi="宋体"/>
          <w:i/>
          <w:iCs/>
          <w:color w:val="000000" w:themeColor="text1"/>
          <w:sz w:val="24"/>
          <w:u w:val="single"/>
          <w14:textFill>
            <w14:solidFill>
              <w14:schemeClr w14:val="tx1"/>
            </w14:solidFill>
          </w14:textFill>
        </w:rPr>
        <w:t>（项目名称）</w:t>
      </w:r>
      <w:r>
        <w:rPr>
          <w:rFonts w:hint="eastAsia" w:ascii="宋体" w:hAnsi="宋体"/>
          <w:color w:val="000000" w:themeColor="text1"/>
          <w:sz w:val="24"/>
          <w14:textFill>
            <w14:solidFill>
              <w14:schemeClr w14:val="tx1"/>
            </w14:solidFill>
          </w14:textFill>
        </w:rPr>
        <w:t>采购活动，提供的货物全部由符合政策要求的中小企业制造。相关企业（含联合体中的中小企业、签订分包意向协议的中小企业）的具体情况如下：</w:t>
      </w:r>
    </w:p>
    <w:p w14:paraId="26441FF0">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i/>
          <w:iCs/>
          <w:color w:val="000000" w:themeColor="text1"/>
          <w:sz w:val="24"/>
          <w:u w:val="single"/>
          <w14:textFill>
            <w14:solidFill>
              <w14:schemeClr w14:val="tx1"/>
            </w14:solidFill>
          </w14:textFill>
        </w:rPr>
        <w:t>（标的名称）</w:t>
      </w:r>
      <w:r>
        <w:rPr>
          <w:rFonts w:hint="eastAsia" w:ascii="宋体" w:hAnsi="宋体"/>
          <w:color w:val="000000" w:themeColor="text1"/>
          <w:sz w:val="24"/>
          <w14:textFill>
            <w14:solidFill>
              <w14:schemeClr w14:val="tx1"/>
            </w14:solidFill>
          </w14:textFill>
        </w:rPr>
        <w:t xml:space="preserve"> ，属于</w:t>
      </w:r>
      <w:r>
        <w:rPr>
          <w:rFonts w:hint="eastAsia" w:ascii="宋体" w:hAnsi="宋体"/>
          <w:i/>
          <w:iCs/>
          <w:color w:val="000000" w:themeColor="text1"/>
          <w:sz w:val="24"/>
          <w:u w:val="single"/>
          <w14:textFill>
            <w14:solidFill>
              <w14:schemeClr w14:val="tx1"/>
            </w14:solidFill>
          </w14:textFill>
        </w:rPr>
        <w:t>（采购文件中明确的所属行业）行业</w:t>
      </w:r>
      <w:r>
        <w:rPr>
          <w:rFonts w:hint="eastAsia" w:ascii="宋体" w:hAnsi="宋体"/>
          <w:color w:val="000000" w:themeColor="text1"/>
          <w:sz w:val="24"/>
          <w14:textFill>
            <w14:solidFill>
              <w14:schemeClr w14:val="tx1"/>
            </w14:solidFill>
          </w14:textFill>
        </w:rPr>
        <w:t>；制造商为</w:t>
      </w:r>
      <w:r>
        <w:rPr>
          <w:rFonts w:hint="eastAsia" w:ascii="宋体" w:hAnsi="宋体"/>
          <w:i/>
          <w:iCs/>
          <w:color w:val="000000" w:themeColor="text1"/>
          <w:sz w:val="24"/>
          <w:u w:val="single"/>
          <w14:textFill>
            <w14:solidFill>
              <w14:schemeClr w14:val="tx1"/>
            </w14:solidFill>
          </w14:textFill>
        </w:rPr>
        <w:t>（企业名称）</w:t>
      </w:r>
      <w:r>
        <w:rPr>
          <w:rFonts w:hint="eastAsia" w:ascii="宋体" w:hAnsi="宋体"/>
          <w:color w:val="000000" w:themeColor="text1"/>
          <w:sz w:val="24"/>
          <w14:textFill>
            <w14:solidFill>
              <w14:schemeClr w14:val="tx1"/>
            </w14:solidFill>
          </w14:textFill>
        </w:rPr>
        <w:t>，从业人员</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人，营业收入为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万元，资产总额为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w:t>
      </w:r>
      <w:r>
        <w:rPr>
          <w:rFonts w:hint="eastAsia" w:ascii="宋体" w:hAnsi="宋体"/>
          <w:color w:val="000000" w:themeColor="text1"/>
          <w:sz w:val="24"/>
          <w:vertAlign w:val="superscript"/>
          <w14:textFill>
            <w14:solidFill>
              <w14:schemeClr w14:val="tx1"/>
            </w14:solidFill>
          </w14:textFill>
        </w:rPr>
        <w:t>1</w:t>
      </w:r>
      <w:r>
        <w:rPr>
          <w:rFonts w:hint="eastAsia" w:ascii="宋体" w:hAnsi="宋体"/>
          <w:color w:val="000000" w:themeColor="text1"/>
          <w:sz w:val="24"/>
          <w14:textFill>
            <w14:solidFill>
              <w14:schemeClr w14:val="tx1"/>
            </w14:solidFill>
          </w14:textFill>
        </w:rPr>
        <w:t>，属于</w:t>
      </w:r>
      <w:r>
        <w:rPr>
          <w:rFonts w:hint="eastAsia" w:ascii="宋体" w:hAnsi="宋体"/>
          <w:i/>
          <w:iCs/>
          <w:color w:val="000000" w:themeColor="text1"/>
          <w:sz w:val="24"/>
          <w:u w:val="single"/>
          <w14:textFill>
            <w14:solidFill>
              <w14:schemeClr w14:val="tx1"/>
            </w14:solidFill>
          </w14:textFill>
        </w:rPr>
        <w:t>（中型企业、小型企业、微型企业）</w:t>
      </w:r>
      <w:r>
        <w:rPr>
          <w:rFonts w:hint="eastAsia" w:ascii="宋体" w:hAnsi="宋体"/>
          <w:color w:val="000000" w:themeColor="text1"/>
          <w:sz w:val="24"/>
          <w14:textFill>
            <w14:solidFill>
              <w14:schemeClr w14:val="tx1"/>
            </w14:solidFill>
          </w14:textFill>
        </w:rPr>
        <w:t>；</w:t>
      </w:r>
    </w:p>
    <w:p w14:paraId="1E8A08CA">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hint="eastAsia" w:ascii="宋体" w:hAnsi="宋体"/>
          <w:i/>
          <w:iCs/>
          <w:color w:val="000000" w:themeColor="text1"/>
          <w:sz w:val="24"/>
          <w:u w:val="single"/>
          <w14:textFill>
            <w14:solidFill>
              <w14:schemeClr w14:val="tx1"/>
            </w14:solidFill>
          </w14:textFill>
        </w:rPr>
        <w:t>（标的名称）</w:t>
      </w:r>
      <w:r>
        <w:rPr>
          <w:rFonts w:hint="eastAsia" w:ascii="宋体" w:hAnsi="宋体"/>
          <w:color w:val="000000" w:themeColor="text1"/>
          <w:sz w:val="24"/>
          <w14:textFill>
            <w14:solidFill>
              <w14:schemeClr w14:val="tx1"/>
            </w14:solidFill>
          </w14:textFill>
        </w:rPr>
        <w:t xml:space="preserve"> ，属于</w:t>
      </w:r>
      <w:r>
        <w:rPr>
          <w:rFonts w:hint="eastAsia" w:ascii="宋体" w:hAnsi="宋体"/>
          <w:i/>
          <w:iCs/>
          <w:color w:val="000000" w:themeColor="text1"/>
          <w:sz w:val="24"/>
          <w:u w:val="single"/>
          <w14:textFill>
            <w14:solidFill>
              <w14:schemeClr w14:val="tx1"/>
            </w14:solidFill>
          </w14:textFill>
        </w:rPr>
        <w:t>（采购文件中明确的所属行业）行业</w:t>
      </w:r>
      <w:r>
        <w:rPr>
          <w:rFonts w:hint="eastAsia" w:ascii="宋体" w:hAnsi="宋体"/>
          <w:color w:val="000000" w:themeColor="text1"/>
          <w:sz w:val="24"/>
          <w14:textFill>
            <w14:solidFill>
              <w14:schemeClr w14:val="tx1"/>
            </w14:solidFill>
          </w14:textFill>
        </w:rPr>
        <w:t>；制造商为</w:t>
      </w:r>
      <w:r>
        <w:rPr>
          <w:rFonts w:hint="eastAsia" w:ascii="宋体" w:hAnsi="宋体"/>
          <w:i/>
          <w:iCs/>
          <w:color w:val="000000" w:themeColor="text1"/>
          <w:sz w:val="24"/>
          <w:u w:val="single"/>
          <w14:textFill>
            <w14:solidFill>
              <w14:schemeClr w14:val="tx1"/>
            </w14:solidFill>
          </w14:textFill>
        </w:rPr>
        <w:t>（企业名称）</w:t>
      </w:r>
      <w:r>
        <w:rPr>
          <w:rFonts w:hint="eastAsia" w:ascii="宋体" w:hAnsi="宋体"/>
          <w:color w:val="000000" w:themeColor="text1"/>
          <w:sz w:val="24"/>
          <w14:textFill>
            <w14:solidFill>
              <w14:schemeClr w14:val="tx1"/>
            </w14:solidFill>
          </w14:textFill>
        </w:rPr>
        <w:t>，从业人员</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人，营业收入为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万元，资产总额为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万元，属于</w:t>
      </w:r>
      <w:r>
        <w:rPr>
          <w:rFonts w:hint="eastAsia" w:ascii="宋体" w:hAnsi="宋体"/>
          <w:i/>
          <w:iCs/>
          <w:color w:val="000000" w:themeColor="text1"/>
          <w:sz w:val="24"/>
          <w:u w:val="single"/>
          <w14:textFill>
            <w14:solidFill>
              <w14:schemeClr w14:val="tx1"/>
            </w14:solidFill>
          </w14:textFill>
        </w:rPr>
        <w:t>（中型企业、小型企业、微型企业）</w:t>
      </w:r>
      <w:r>
        <w:rPr>
          <w:rFonts w:hint="eastAsia" w:ascii="宋体" w:hAnsi="宋体"/>
          <w:color w:val="000000" w:themeColor="text1"/>
          <w:sz w:val="24"/>
          <w14:textFill>
            <w14:solidFill>
              <w14:schemeClr w14:val="tx1"/>
            </w14:solidFill>
          </w14:textFill>
        </w:rPr>
        <w:t>；</w:t>
      </w:r>
    </w:p>
    <w:p w14:paraId="307FF59D">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p>
    <w:p w14:paraId="37FE65C5">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以上企业，不属于大企业的分支机构，不存在控股股东为大企业的情形，也不存在与大企业的负责人为同一人的情形。</w:t>
      </w:r>
    </w:p>
    <w:p w14:paraId="35931953">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本企业对上述声明内容的真实性负责。如有虚假，将依法承担相应责任。</w:t>
      </w:r>
    </w:p>
    <w:p w14:paraId="673F4810">
      <w:pPr>
        <w:spacing w:line="360" w:lineRule="auto"/>
        <w:ind w:firstLine="4200" w:firstLineChars="17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企业名称（盖章）：</w:t>
      </w:r>
    </w:p>
    <w:p w14:paraId="01BC6F86">
      <w:pPr>
        <w:spacing w:line="360" w:lineRule="auto"/>
        <w:ind w:firstLine="4200" w:firstLineChars="17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w:t>
      </w:r>
    </w:p>
    <w:p w14:paraId="350F15C3">
      <w:pPr>
        <w:spacing w:line="360" w:lineRule="auto"/>
        <w:ind w:firstLine="4200" w:firstLineChars="1750"/>
        <w:rPr>
          <w:rFonts w:ascii="宋体" w:hAnsi="宋体"/>
          <w:color w:val="000000" w:themeColor="text1"/>
          <w:sz w:val="24"/>
          <w14:textFill>
            <w14:solidFill>
              <w14:schemeClr w14:val="tx1"/>
            </w14:solidFill>
          </w14:textFill>
        </w:rPr>
      </w:pPr>
    </w:p>
    <w:p w14:paraId="1EC2A885">
      <w:pPr>
        <w:spacing w:line="360" w:lineRule="auto"/>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14:paraId="2CC7B628">
      <w:pPr>
        <w:spacing w:line="360" w:lineRule="auto"/>
        <w:jc w:val="left"/>
        <w:rPr>
          <w:rFonts w:ascii="宋体" w:hAnsi="宋体"/>
          <w:color w:val="000000" w:themeColor="text1"/>
          <w:sz w:val="20"/>
          <w:szCs w:val="20"/>
          <w14:textFill>
            <w14:solidFill>
              <w14:schemeClr w14:val="tx1"/>
            </w14:solidFill>
          </w14:textFill>
        </w:rPr>
      </w:pPr>
      <w:r>
        <w:rPr>
          <w:rFonts w:hint="eastAsia" w:ascii="宋体" w:hAnsi="宋体"/>
          <w:color w:val="000000" w:themeColor="text1"/>
          <w:sz w:val="20"/>
          <w:szCs w:val="20"/>
          <w:vertAlign w:val="superscript"/>
          <w14:textFill>
            <w14:solidFill>
              <w14:schemeClr w14:val="tx1"/>
            </w14:solidFill>
          </w14:textFill>
        </w:rPr>
        <w:t>1</w:t>
      </w:r>
      <w:r>
        <w:rPr>
          <w:rFonts w:hint="eastAsia" w:ascii="宋体" w:hAnsi="宋体"/>
          <w:color w:val="000000" w:themeColor="text1"/>
          <w:sz w:val="24"/>
          <w14:textFill>
            <w14:solidFill>
              <w14:schemeClr w14:val="tx1"/>
            </w14:solidFill>
          </w14:textFill>
        </w:rPr>
        <w:t>从业人员、营业收入、资产总额填报上一年度数据，无上一年度数据的新成立企业可不填报。</w:t>
      </w:r>
    </w:p>
    <w:p w14:paraId="04A3ED15">
      <w:pPr>
        <w:spacing w:line="360" w:lineRule="auto"/>
        <w:jc w:val="left"/>
        <w:rPr>
          <w:rFonts w:ascii="宋体" w:hAnsi="宋体"/>
          <w:color w:val="000000" w:themeColor="text1"/>
          <w:sz w:val="24"/>
          <w14:textFill>
            <w14:solidFill>
              <w14:schemeClr w14:val="tx1"/>
            </w14:solidFill>
          </w14:textFill>
        </w:rPr>
      </w:pPr>
    </w:p>
    <w:p w14:paraId="1FCAFC39">
      <w:pPr>
        <w:spacing w:line="360" w:lineRule="auto"/>
        <w:jc w:val="left"/>
        <w:rPr>
          <w:rFonts w:ascii="宋体" w:hAnsi="宋体"/>
          <w:color w:val="000000" w:themeColor="text1"/>
          <w:sz w:val="24"/>
          <w14:textFill>
            <w14:solidFill>
              <w14:schemeClr w14:val="tx1"/>
            </w14:solidFill>
          </w14:textFill>
        </w:rPr>
      </w:pPr>
    </w:p>
    <w:p w14:paraId="493AD605">
      <w:pPr>
        <w:rPr>
          <w:rFonts w:ascii="宋体" w:hAnsi="宋体"/>
          <w:color w:val="000000" w:themeColor="text1"/>
          <w:sz w:val="36"/>
          <w:szCs w:val="36"/>
          <w:u w:val="single"/>
          <w14:textFill>
            <w14:solidFill>
              <w14:schemeClr w14:val="tx1"/>
            </w14:solidFill>
          </w14:textFill>
        </w:rPr>
      </w:pPr>
      <w:r>
        <w:rPr>
          <w:rFonts w:hint="eastAsia" w:ascii="宋体" w:hAnsi="宋体"/>
          <w:b/>
          <w:color w:val="000000" w:themeColor="text1"/>
          <w:sz w:val="24"/>
          <w14:textFill>
            <w14:solidFill>
              <w14:schemeClr w14:val="tx1"/>
            </w14:solidFill>
          </w14:textFill>
        </w:rPr>
        <w:t>注</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本项目所</w:t>
      </w:r>
      <w:r>
        <w:rPr>
          <w:rFonts w:ascii="宋体" w:hAnsi="宋体"/>
          <w:b/>
          <w:color w:val="000000" w:themeColor="text1"/>
          <w:sz w:val="24"/>
          <w14:textFill>
            <w14:solidFill>
              <w14:schemeClr w14:val="tx1"/>
            </w14:solidFill>
          </w14:textFill>
        </w:rPr>
        <w:t>属</w:t>
      </w:r>
      <w:r>
        <w:rPr>
          <w:rFonts w:hint="eastAsia" w:ascii="宋体" w:hAnsi="宋体"/>
          <w:b/>
          <w:color w:val="000000" w:themeColor="text1"/>
          <w:sz w:val="24"/>
          <w14:textFill>
            <w14:solidFill>
              <w14:schemeClr w14:val="tx1"/>
            </w14:solidFill>
          </w14:textFill>
        </w:rPr>
        <w:t>行业为</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制造业</w:t>
      </w:r>
      <w:r>
        <w:rPr>
          <w:rFonts w:ascii="宋体" w:hAnsi="宋体"/>
          <w:b/>
          <w:color w:val="000000" w:themeColor="text1"/>
          <w:sz w:val="24"/>
          <w14:textFill>
            <w14:solidFill>
              <w14:schemeClr w14:val="tx1"/>
            </w14:solidFill>
          </w14:textFill>
        </w:rPr>
        <w:t>】。</w:t>
      </w:r>
    </w:p>
    <w:p w14:paraId="71316A4F">
      <w:pPr>
        <w:rPr>
          <w:rFonts w:ascii="宋体" w:hAnsi="宋体"/>
          <w:sz w:val="36"/>
          <w:szCs w:val="36"/>
          <w:u w:val="single"/>
        </w:rPr>
      </w:pPr>
    </w:p>
    <w:p w14:paraId="0FC85981">
      <w:pPr>
        <w:jc w:val="center"/>
        <w:rPr>
          <w:rFonts w:ascii="宋体" w:hAnsi="宋体"/>
          <w:sz w:val="36"/>
          <w:szCs w:val="36"/>
          <w:u w:val="single"/>
        </w:rPr>
      </w:pPr>
    </w:p>
    <w:p w14:paraId="6D54143D">
      <w:pPr>
        <w:jc w:val="center"/>
        <w:rPr>
          <w:rFonts w:ascii="宋体" w:hAnsi="宋体"/>
          <w:sz w:val="36"/>
          <w:szCs w:val="36"/>
          <w:u w:val="single"/>
        </w:rPr>
      </w:pPr>
    </w:p>
    <w:p w14:paraId="4D995BA0">
      <w:pPr>
        <w:pStyle w:val="35"/>
        <w:rPr>
          <w:b/>
          <w:bCs/>
        </w:rPr>
      </w:pPr>
      <w:r>
        <w:rPr>
          <w:rFonts w:hint="eastAsia"/>
          <w:b/>
          <w:bCs/>
        </w:rPr>
        <w:t>第二部分：谈判响应文件价格标部分</w:t>
      </w:r>
    </w:p>
    <w:p w14:paraId="0F5CDF85">
      <w:pPr>
        <w:spacing w:line="440" w:lineRule="atLeast"/>
        <w:jc w:val="center"/>
        <w:rPr>
          <w:rFonts w:ascii="仿宋_GB2312"/>
          <w:b/>
          <w:bCs/>
          <w:sz w:val="28"/>
        </w:rPr>
      </w:pPr>
      <w:r>
        <w:rPr>
          <w:rFonts w:hint="eastAsia" w:ascii="仿宋_GB2312"/>
          <w:b/>
          <w:bCs/>
          <w:sz w:val="28"/>
        </w:rPr>
        <w:t>一</w:t>
      </w:r>
      <w:r>
        <w:rPr>
          <w:rFonts w:ascii="仿宋_GB2312"/>
          <w:b/>
          <w:bCs/>
          <w:sz w:val="28"/>
        </w:rPr>
        <w:t>、</w:t>
      </w:r>
      <w:r>
        <w:rPr>
          <w:rFonts w:hint="eastAsia" w:ascii="仿宋_GB2312"/>
          <w:b/>
          <w:bCs/>
          <w:sz w:val="28"/>
        </w:rPr>
        <w:t>谈 判 响 应 函</w:t>
      </w:r>
    </w:p>
    <w:p w14:paraId="78F7B559">
      <w:pPr>
        <w:pStyle w:val="50"/>
        <w:spacing w:line="440" w:lineRule="atLeast"/>
        <w:rPr>
          <w:rFonts w:eastAsia="宋体"/>
          <w:sz w:val="24"/>
        </w:rPr>
      </w:pPr>
    </w:p>
    <w:p w14:paraId="51F514D6">
      <w:pPr>
        <w:pStyle w:val="50"/>
        <w:spacing w:line="440" w:lineRule="atLeast"/>
        <w:rPr>
          <w:rFonts w:eastAsia="宋体"/>
          <w:sz w:val="24"/>
        </w:rPr>
      </w:pPr>
      <w:r>
        <w:rPr>
          <w:rFonts w:hint="eastAsia" w:eastAsia="宋体"/>
          <w:sz w:val="24"/>
        </w:rPr>
        <w:t>项目名称：</w:t>
      </w:r>
    </w:p>
    <w:p w14:paraId="422D392C">
      <w:pPr>
        <w:spacing w:line="440" w:lineRule="atLeast"/>
        <w:rPr>
          <w:rFonts w:ascii="仿宋_GB2312"/>
          <w:sz w:val="24"/>
        </w:rPr>
      </w:pPr>
      <w:r>
        <w:rPr>
          <w:rFonts w:hint="eastAsia" w:ascii="仿宋_GB2312"/>
          <w:sz w:val="24"/>
        </w:rPr>
        <w:t>项目编号：</w:t>
      </w:r>
    </w:p>
    <w:p w14:paraId="5BF7283F">
      <w:pPr>
        <w:spacing w:line="440" w:lineRule="atLeast"/>
        <w:rPr>
          <w:rFonts w:ascii="仿宋_GB2312"/>
          <w:sz w:val="24"/>
        </w:rPr>
      </w:pPr>
    </w:p>
    <w:p w14:paraId="33CFDBDE">
      <w:pPr>
        <w:spacing w:after="240" w:afterLines="100" w:line="440" w:lineRule="atLeast"/>
        <w:rPr>
          <w:rFonts w:ascii="仿宋_GB2312"/>
          <w:sz w:val="24"/>
        </w:rPr>
      </w:pPr>
      <w:r>
        <w:rPr>
          <w:rFonts w:hint="eastAsia" w:ascii="仿宋_GB2312"/>
          <w:sz w:val="24"/>
        </w:rPr>
        <w:t>致：长春净月高新技术产业开发区政府采购中心</w:t>
      </w:r>
    </w:p>
    <w:p w14:paraId="4832AB77">
      <w:pPr>
        <w:spacing w:line="440" w:lineRule="atLeast"/>
        <w:ind w:right="34" w:rightChars="16" w:firstLine="480" w:firstLineChars="200"/>
        <w:jc w:val="left"/>
        <w:rPr>
          <w:rFonts w:ascii="仿宋_GB2312"/>
          <w:sz w:val="24"/>
        </w:rPr>
      </w:pPr>
      <w:r>
        <w:rPr>
          <w:rFonts w:hint="eastAsia" w:ascii="仿宋_GB2312"/>
          <w:sz w:val="24"/>
        </w:rPr>
        <w:t>我单位经研究上述谈判文件的响应须知、 合同条款、质量要求、服务需求和其他有关文件后，我方愿</w:t>
      </w:r>
      <w:r>
        <w:rPr>
          <w:rFonts w:hint="eastAsia" w:ascii="宋体" w:hAnsi="宋体"/>
          <w:sz w:val="24"/>
        </w:rPr>
        <w:t>以</w:t>
      </w:r>
      <w:r>
        <w:rPr>
          <w:rFonts w:hint="eastAsia" w:ascii="仿宋_GB2312"/>
          <w:sz w:val="24"/>
          <w:u w:val="single"/>
        </w:rPr>
        <w:t xml:space="preserve"> </w:t>
      </w:r>
      <w:r>
        <w:rPr>
          <w:rFonts w:ascii="仿宋_GB2312"/>
          <w:sz w:val="24"/>
          <w:u w:val="single"/>
        </w:rPr>
        <w:t xml:space="preserve">       </w:t>
      </w:r>
      <w:r>
        <w:rPr>
          <w:rFonts w:hint="eastAsia" w:ascii="仿宋_GB2312"/>
          <w:sz w:val="24"/>
        </w:rPr>
        <w:t>（大写）元的总价响应报价，按上述合同条款、质量要求、服务需求的条件提供上述项目的供应。</w:t>
      </w:r>
    </w:p>
    <w:p w14:paraId="5AE8C993">
      <w:pPr>
        <w:spacing w:line="440" w:lineRule="atLeast"/>
        <w:ind w:right="34" w:rightChars="16" w:firstLine="480" w:firstLineChars="200"/>
        <w:jc w:val="left"/>
        <w:rPr>
          <w:rFonts w:ascii="仿宋_GB2312"/>
          <w:sz w:val="24"/>
        </w:rPr>
      </w:pPr>
      <w:r>
        <w:rPr>
          <w:rFonts w:hint="eastAsia" w:ascii="仿宋_GB2312"/>
          <w:sz w:val="24"/>
        </w:rPr>
        <w:t>一旦我方中标，我方保证在合同协议条款中规定的供货期提供服务并交付成果。</w:t>
      </w:r>
    </w:p>
    <w:p w14:paraId="2F89E1F9">
      <w:pPr>
        <w:spacing w:line="440" w:lineRule="atLeast"/>
        <w:ind w:firstLine="600"/>
        <w:rPr>
          <w:rFonts w:ascii="仿宋_GB2312"/>
          <w:sz w:val="24"/>
        </w:rPr>
      </w:pPr>
      <w:r>
        <w:rPr>
          <w:rFonts w:hint="eastAsia" w:ascii="仿宋_GB2312"/>
          <w:sz w:val="24"/>
        </w:rPr>
        <w:t>我方同意本谈判响应文件在响应谈判供应商须知第</w:t>
      </w:r>
      <w:r>
        <w:rPr>
          <w:rFonts w:hint="eastAsia" w:ascii="宋体" w:hAnsi="宋体"/>
          <w:sz w:val="24"/>
        </w:rPr>
        <w:t>2</w:t>
      </w:r>
      <w:r>
        <w:rPr>
          <w:rFonts w:ascii="宋体" w:hAnsi="宋体"/>
          <w:sz w:val="24"/>
        </w:rPr>
        <w:t>2</w:t>
      </w:r>
      <w:r>
        <w:rPr>
          <w:rFonts w:hint="eastAsia" w:ascii="仿宋_GB2312"/>
          <w:sz w:val="24"/>
        </w:rPr>
        <w:t>条规定的谈判</w:t>
      </w:r>
      <w:r>
        <w:rPr>
          <w:rFonts w:ascii="仿宋_GB2312"/>
          <w:sz w:val="24"/>
        </w:rPr>
        <w:t>响应</w:t>
      </w:r>
      <w:r>
        <w:rPr>
          <w:rFonts w:hint="eastAsia" w:ascii="仿宋_GB2312"/>
          <w:sz w:val="24"/>
        </w:rPr>
        <w:t>截止期开始对我方有约束力，并在响应谈判供应商须知第</w:t>
      </w:r>
      <w:r>
        <w:rPr>
          <w:rFonts w:hint="eastAsia" w:ascii="宋体" w:hAnsi="宋体"/>
          <w:sz w:val="24"/>
        </w:rPr>
        <w:t>18条</w:t>
      </w:r>
      <w:r>
        <w:rPr>
          <w:rFonts w:hint="eastAsia" w:ascii="仿宋_GB2312"/>
          <w:sz w:val="24"/>
        </w:rPr>
        <w:t>规定的谈判</w:t>
      </w:r>
      <w:r>
        <w:rPr>
          <w:rFonts w:ascii="仿宋_GB2312"/>
          <w:sz w:val="24"/>
        </w:rPr>
        <w:t>响应</w:t>
      </w:r>
      <w:r>
        <w:rPr>
          <w:rFonts w:hint="eastAsia" w:ascii="仿宋_GB2312"/>
          <w:sz w:val="24"/>
        </w:rPr>
        <w:t>有效期截止前一直对我方有约束力且随时可能按此谈判响应文件成交。</w:t>
      </w:r>
    </w:p>
    <w:p w14:paraId="57AED191">
      <w:pPr>
        <w:spacing w:line="440" w:lineRule="atLeast"/>
        <w:ind w:firstLine="600"/>
        <w:rPr>
          <w:rFonts w:ascii="仿宋_GB2312"/>
          <w:sz w:val="24"/>
        </w:rPr>
      </w:pPr>
      <w:r>
        <w:rPr>
          <w:rFonts w:hint="eastAsia" w:ascii="仿宋_GB2312"/>
          <w:sz w:val="24"/>
        </w:rPr>
        <w:t>在签署合同协议书之前，你方的成交通知书和本谈判响应文件将构成约束我们双方的契约。</w:t>
      </w:r>
    </w:p>
    <w:p w14:paraId="68AA85C9">
      <w:pPr>
        <w:spacing w:line="440" w:lineRule="atLeast"/>
        <w:ind w:firstLine="600"/>
        <w:rPr>
          <w:rFonts w:ascii="仿宋_GB2312"/>
          <w:sz w:val="24"/>
        </w:rPr>
      </w:pPr>
    </w:p>
    <w:p w14:paraId="70DB4F40">
      <w:pPr>
        <w:spacing w:line="440" w:lineRule="atLeast"/>
        <w:ind w:firstLine="600"/>
        <w:rPr>
          <w:rFonts w:ascii="仿宋_GB2312"/>
          <w:sz w:val="24"/>
        </w:rPr>
      </w:pPr>
    </w:p>
    <w:p w14:paraId="287C4549">
      <w:pPr>
        <w:spacing w:line="440" w:lineRule="atLeast"/>
        <w:ind w:firstLine="600"/>
        <w:rPr>
          <w:rFonts w:ascii="仿宋_GB2312"/>
          <w:sz w:val="24"/>
        </w:rPr>
      </w:pPr>
    </w:p>
    <w:p w14:paraId="427ABEE3">
      <w:pPr>
        <w:spacing w:line="440" w:lineRule="atLeast"/>
        <w:ind w:firstLine="600"/>
        <w:rPr>
          <w:rFonts w:ascii="仿宋_GB2312"/>
          <w:sz w:val="24"/>
        </w:rPr>
      </w:pPr>
    </w:p>
    <w:p w14:paraId="79F9DB3C">
      <w:pPr>
        <w:spacing w:line="440" w:lineRule="atLeast"/>
        <w:ind w:firstLine="600"/>
        <w:rPr>
          <w:rFonts w:ascii="仿宋_GB2312"/>
          <w:sz w:val="24"/>
        </w:rPr>
      </w:pPr>
    </w:p>
    <w:p w14:paraId="015C85A9">
      <w:pPr>
        <w:spacing w:line="440" w:lineRule="atLeast"/>
        <w:ind w:firstLine="480" w:firstLineChars="200"/>
        <w:rPr>
          <w:rFonts w:ascii="仿宋_GB2312"/>
          <w:sz w:val="24"/>
        </w:rPr>
      </w:pPr>
      <w:r>
        <w:rPr>
          <w:rFonts w:hint="eastAsia" w:ascii="仿宋_GB2312"/>
          <w:sz w:val="24"/>
        </w:rPr>
        <w:t>响应谈判供应商：（盖公章）</w:t>
      </w:r>
    </w:p>
    <w:p w14:paraId="5580576B">
      <w:pPr>
        <w:spacing w:line="440" w:lineRule="atLeast"/>
        <w:rPr>
          <w:rFonts w:ascii="仿宋_GB2312"/>
          <w:sz w:val="24"/>
        </w:rPr>
      </w:pPr>
      <w:r>
        <w:rPr>
          <w:rFonts w:hint="eastAsia" w:ascii="仿宋_GB2312"/>
          <w:sz w:val="24"/>
        </w:rPr>
        <w:t xml:space="preserve">    法定代表人或被授权委托人：（签字或盖章）    </w:t>
      </w:r>
    </w:p>
    <w:p w14:paraId="37A69876">
      <w:pPr>
        <w:spacing w:line="440" w:lineRule="atLeast"/>
        <w:rPr>
          <w:rFonts w:ascii="仿宋_GB2312"/>
          <w:sz w:val="24"/>
        </w:rPr>
      </w:pPr>
      <w:r>
        <w:rPr>
          <w:rFonts w:hint="eastAsia" w:ascii="仿宋_GB2312"/>
          <w:sz w:val="24"/>
        </w:rPr>
        <w:t xml:space="preserve">    地址：                               </w:t>
      </w:r>
    </w:p>
    <w:p w14:paraId="0D33BE16">
      <w:pPr>
        <w:spacing w:line="440" w:lineRule="atLeast"/>
        <w:rPr>
          <w:rFonts w:ascii="宋体"/>
          <w:sz w:val="24"/>
        </w:rPr>
      </w:pPr>
      <w:r>
        <w:rPr>
          <w:rFonts w:hint="eastAsia" w:ascii="仿宋_GB2312"/>
          <w:sz w:val="24"/>
        </w:rPr>
        <w:t xml:space="preserve">    日期：    年  月  日</w:t>
      </w:r>
      <w:r>
        <w:rPr>
          <w:rFonts w:hint="eastAsia" w:ascii="宋体"/>
          <w:sz w:val="24"/>
        </w:rPr>
        <w:t xml:space="preserve">           </w:t>
      </w:r>
    </w:p>
    <w:p w14:paraId="151015F5">
      <w:pPr>
        <w:spacing w:line="440" w:lineRule="atLeast"/>
        <w:rPr>
          <w:rFonts w:ascii="仿宋_GB2312"/>
          <w:sz w:val="24"/>
        </w:rPr>
      </w:pPr>
    </w:p>
    <w:p w14:paraId="252701D1">
      <w:pPr>
        <w:spacing w:line="440" w:lineRule="atLeast"/>
        <w:rPr>
          <w:rFonts w:ascii="仿宋_GB2312"/>
          <w:sz w:val="24"/>
        </w:rPr>
      </w:pPr>
    </w:p>
    <w:p w14:paraId="3B40038E">
      <w:pPr>
        <w:spacing w:line="440" w:lineRule="atLeast"/>
        <w:rPr>
          <w:rFonts w:ascii="仿宋_GB2312"/>
          <w:sz w:val="24"/>
        </w:rPr>
        <w:sectPr>
          <w:headerReference r:id="rId18" w:type="first"/>
          <w:headerReference r:id="rId16" w:type="default"/>
          <w:footerReference r:id="rId19" w:type="default"/>
          <w:headerReference r:id="rId17" w:type="even"/>
          <w:type w:val="nextColumn"/>
          <w:pgSz w:w="11907" w:h="16840"/>
          <w:pgMar w:top="1134" w:right="1134" w:bottom="1134" w:left="1418" w:header="1021" w:footer="1021" w:gutter="170"/>
          <w:paperSrc w:first="15" w:other="15"/>
          <w:cols w:space="720" w:num="1"/>
          <w:docGrid w:linePitch="285" w:charSpace="0"/>
        </w:sectPr>
      </w:pPr>
    </w:p>
    <w:p w14:paraId="21D522D9">
      <w:pPr>
        <w:spacing w:line="440" w:lineRule="atLeast"/>
        <w:jc w:val="center"/>
        <w:rPr>
          <w:rFonts w:ascii="仿宋_GB2312"/>
          <w:b/>
          <w:bCs/>
          <w:spacing w:val="46"/>
          <w:sz w:val="28"/>
        </w:rPr>
      </w:pPr>
      <w:r>
        <w:rPr>
          <w:rFonts w:hint="eastAsia" w:ascii="仿宋_GB2312"/>
          <w:b/>
          <w:bCs/>
          <w:spacing w:val="46"/>
          <w:sz w:val="28"/>
        </w:rPr>
        <w:t>二、谈判</w:t>
      </w:r>
      <w:bookmarkStart w:id="51" w:name="OLE_LINK22"/>
      <w:bookmarkStart w:id="52" w:name="OLE_LINK21"/>
      <w:r>
        <w:rPr>
          <w:rFonts w:hint="eastAsia" w:ascii="仿宋_GB2312"/>
          <w:b/>
          <w:bCs/>
          <w:spacing w:val="46"/>
          <w:sz w:val="28"/>
        </w:rPr>
        <w:t>响应</w:t>
      </w:r>
      <w:bookmarkStart w:id="53" w:name="OLE_LINK20"/>
      <w:r>
        <w:rPr>
          <w:rFonts w:hint="eastAsia" w:ascii="仿宋_GB2312"/>
          <w:b/>
          <w:bCs/>
          <w:spacing w:val="46"/>
          <w:sz w:val="28"/>
        </w:rPr>
        <w:t>首次</w:t>
      </w:r>
      <w:bookmarkEnd w:id="51"/>
      <w:bookmarkEnd w:id="52"/>
      <w:bookmarkEnd w:id="53"/>
      <w:r>
        <w:rPr>
          <w:rFonts w:hint="eastAsia" w:ascii="仿宋_GB2312"/>
          <w:b/>
          <w:bCs/>
          <w:spacing w:val="46"/>
          <w:sz w:val="28"/>
        </w:rPr>
        <w:t>报价表</w:t>
      </w:r>
    </w:p>
    <w:p w14:paraId="08A6A485">
      <w:pPr>
        <w:spacing w:line="440" w:lineRule="atLeast"/>
        <w:ind w:firstLine="333" w:firstLineChars="100"/>
        <w:rPr>
          <w:rFonts w:ascii="仿宋_GB2312"/>
          <w:b/>
          <w:spacing w:val="46"/>
          <w:sz w:val="24"/>
        </w:rPr>
      </w:pPr>
    </w:p>
    <w:p w14:paraId="7C0232F1">
      <w:pPr>
        <w:spacing w:line="440" w:lineRule="atLeast"/>
        <w:ind w:firstLine="240" w:firstLineChars="100"/>
        <w:rPr>
          <w:rFonts w:ascii="仿宋_GB2312"/>
          <w:sz w:val="24"/>
        </w:rPr>
      </w:pPr>
      <w:r>
        <w:rPr>
          <w:rFonts w:hint="eastAsia" w:ascii="仿宋_GB2312"/>
          <w:sz w:val="24"/>
        </w:rPr>
        <w:t>项目名称：</w:t>
      </w:r>
    </w:p>
    <w:p w14:paraId="7B694354">
      <w:pPr>
        <w:spacing w:line="440" w:lineRule="atLeast"/>
        <w:ind w:firstLine="240" w:firstLineChars="100"/>
        <w:rPr>
          <w:rFonts w:ascii="宋体"/>
          <w:sz w:val="24"/>
        </w:rPr>
      </w:pPr>
      <w:r>
        <w:rPr>
          <w:rFonts w:hint="eastAsia" w:ascii="仿宋_GB2312"/>
          <w:sz w:val="24"/>
        </w:rPr>
        <w:t>项目编号：</w:t>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hint="eastAsia" w:ascii="仿宋_GB2312"/>
          <w:sz w:val="24"/>
        </w:rPr>
        <w:t>谈判时间：  年  月  日</w:t>
      </w:r>
    </w:p>
    <w:tbl>
      <w:tblPr>
        <w:tblStyle w:val="41"/>
        <w:tblW w:w="1332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2976"/>
        <w:gridCol w:w="1843"/>
        <w:gridCol w:w="2268"/>
        <w:gridCol w:w="3544"/>
      </w:tblGrid>
      <w:tr w14:paraId="7F884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2" w:hRule="atLeast"/>
        </w:trPr>
        <w:tc>
          <w:tcPr>
            <w:tcW w:w="2694" w:type="dxa"/>
            <w:vAlign w:val="center"/>
          </w:tcPr>
          <w:p w14:paraId="1048F06B">
            <w:pPr>
              <w:spacing w:line="440" w:lineRule="atLeast"/>
              <w:jc w:val="center"/>
              <w:rPr>
                <w:rFonts w:ascii="仿宋_GB2312"/>
                <w:sz w:val="24"/>
              </w:rPr>
            </w:pPr>
            <w:r>
              <w:rPr>
                <w:rFonts w:hint="eastAsia" w:ascii="仿宋_GB2312"/>
                <w:sz w:val="24"/>
              </w:rPr>
              <w:t>响应谈判供应商名称</w:t>
            </w:r>
          </w:p>
        </w:tc>
        <w:tc>
          <w:tcPr>
            <w:tcW w:w="2976" w:type="dxa"/>
            <w:vAlign w:val="center"/>
          </w:tcPr>
          <w:p w14:paraId="593BF8EF">
            <w:pPr>
              <w:spacing w:line="440" w:lineRule="atLeast"/>
              <w:jc w:val="center"/>
              <w:rPr>
                <w:rFonts w:ascii="仿宋_GB2312"/>
                <w:sz w:val="24"/>
              </w:rPr>
            </w:pPr>
            <w:r>
              <w:rPr>
                <w:rFonts w:hint="eastAsia" w:ascii="仿宋_GB2312"/>
                <w:sz w:val="24"/>
              </w:rPr>
              <w:t>谈判响应报价（元）</w:t>
            </w:r>
          </w:p>
        </w:tc>
        <w:tc>
          <w:tcPr>
            <w:tcW w:w="1843" w:type="dxa"/>
            <w:vAlign w:val="center"/>
          </w:tcPr>
          <w:p w14:paraId="6CC9CE46">
            <w:pPr>
              <w:spacing w:line="440" w:lineRule="atLeast"/>
              <w:jc w:val="center"/>
              <w:rPr>
                <w:rFonts w:ascii="仿宋_GB2312"/>
                <w:sz w:val="24"/>
              </w:rPr>
            </w:pPr>
            <w:r>
              <w:rPr>
                <w:rFonts w:hint="eastAsia" w:ascii="仿宋_GB2312"/>
                <w:sz w:val="24"/>
              </w:rPr>
              <w:t>供货期</w:t>
            </w:r>
          </w:p>
        </w:tc>
        <w:tc>
          <w:tcPr>
            <w:tcW w:w="2268" w:type="dxa"/>
            <w:vAlign w:val="center"/>
          </w:tcPr>
          <w:p w14:paraId="14FB5163">
            <w:pPr>
              <w:spacing w:line="440" w:lineRule="atLeast"/>
              <w:jc w:val="center"/>
              <w:rPr>
                <w:rFonts w:ascii="仿宋_GB2312"/>
                <w:sz w:val="24"/>
              </w:rPr>
            </w:pPr>
            <w:r>
              <w:rPr>
                <w:rFonts w:hint="eastAsia" w:ascii="仿宋_GB2312"/>
                <w:sz w:val="24"/>
              </w:rPr>
              <w:t>货物质量</w:t>
            </w:r>
          </w:p>
        </w:tc>
        <w:tc>
          <w:tcPr>
            <w:tcW w:w="3544" w:type="dxa"/>
            <w:vAlign w:val="center"/>
          </w:tcPr>
          <w:p w14:paraId="086E037B">
            <w:pPr>
              <w:spacing w:line="440" w:lineRule="atLeast"/>
              <w:jc w:val="center"/>
              <w:rPr>
                <w:rFonts w:ascii="仿宋_GB2312"/>
                <w:sz w:val="24"/>
              </w:rPr>
            </w:pPr>
            <w:r>
              <w:rPr>
                <w:rFonts w:hint="eastAsia" w:ascii="仿宋_GB2312"/>
                <w:sz w:val="24"/>
              </w:rPr>
              <w:t>其他承诺（选填）</w:t>
            </w:r>
          </w:p>
        </w:tc>
      </w:tr>
      <w:tr w14:paraId="56CAA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trPr>
        <w:tc>
          <w:tcPr>
            <w:tcW w:w="2694" w:type="dxa"/>
            <w:tcBorders>
              <w:bottom w:val="single" w:color="auto" w:sz="4" w:space="0"/>
            </w:tcBorders>
          </w:tcPr>
          <w:p w14:paraId="2A477193">
            <w:pPr>
              <w:spacing w:line="440" w:lineRule="atLeast"/>
              <w:rPr>
                <w:rFonts w:ascii="宋体"/>
                <w:sz w:val="24"/>
              </w:rPr>
            </w:pPr>
          </w:p>
        </w:tc>
        <w:tc>
          <w:tcPr>
            <w:tcW w:w="2976" w:type="dxa"/>
            <w:tcBorders>
              <w:bottom w:val="single" w:color="auto" w:sz="4" w:space="0"/>
            </w:tcBorders>
            <w:vAlign w:val="center"/>
          </w:tcPr>
          <w:p w14:paraId="11DCD72B">
            <w:pPr>
              <w:spacing w:line="360" w:lineRule="auto"/>
              <w:jc w:val="left"/>
              <w:rPr>
                <w:rFonts w:ascii="宋体" w:hAnsi="宋体"/>
                <w:bCs/>
                <w:sz w:val="24"/>
              </w:rPr>
            </w:pPr>
          </w:p>
        </w:tc>
        <w:tc>
          <w:tcPr>
            <w:tcW w:w="1843" w:type="dxa"/>
            <w:tcBorders>
              <w:bottom w:val="single" w:color="auto" w:sz="4" w:space="0"/>
            </w:tcBorders>
          </w:tcPr>
          <w:p w14:paraId="60373A07">
            <w:pPr>
              <w:spacing w:line="440" w:lineRule="atLeast"/>
              <w:rPr>
                <w:rFonts w:ascii="宋体"/>
                <w:sz w:val="24"/>
              </w:rPr>
            </w:pPr>
          </w:p>
        </w:tc>
        <w:tc>
          <w:tcPr>
            <w:tcW w:w="2268" w:type="dxa"/>
            <w:tcBorders>
              <w:bottom w:val="single" w:color="auto" w:sz="4" w:space="0"/>
            </w:tcBorders>
          </w:tcPr>
          <w:p w14:paraId="41B9FB3B">
            <w:pPr>
              <w:spacing w:line="440" w:lineRule="atLeast"/>
              <w:rPr>
                <w:rFonts w:ascii="宋体"/>
                <w:sz w:val="24"/>
              </w:rPr>
            </w:pPr>
          </w:p>
        </w:tc>
        <w:tc>
          <w:tcPr>
            <w:tcW w:w="3544" w:type="dxa"/>
            <w:tcBorders>
              <w:bottom w:val="single" w:color="auto" w:sz="4" w:space="0"/>
            </w:tcBorders>
          </w:tcPr>
          <w:p w14:paraId="16E7D45D">
            <w:pPr>
              <w:spacing w:line="440" w:lineRule="atLeast"/>
              <w:rPr>
                <w:rFonts w:ascii="宋体"/>
                <w:sz w:val="24"/>
              </w:rPr>
            </w:pPr>
          </w:p>
        </w:tc>
      </w:tr>
    </w:tbl>
    <w:p w14:paraId="36F58D38">
      <w:pPr>
        <w:spacing w:line="440" w:lineRule="atLeast"/>
        <w:ind w:firstLine="480" w:firstLineChars="200"/>
        <w:rPr>
          <w:rFonts w:ascii="仿宋_GB2312"/>
          <w:b/>
          <w:sz w:val="24"/>
        </w:rPr>
      </w:pPr>
      <w:r>
        <w:rPr>
          <w:rFonts w:hint="eastAsia" w:ascii="仿宋_GB2312"/>
          <w:sz w:val="24"/>
        </w:rPr>
        <w:t>注：</w:t>
      </w:r>
      <w:r>
        <w:rPr>
          <w:rFonts w:hint="eastAsia" w:ascii="仿宋_GB2312"/>
          <w:b/>
          <w:sz w:val="24"/>
        </w:rPr>
        <w:t>1. 本表除在谈判响应文件中填写外，还须在“政采云”平台填写</w:t>
      </w:r>
      <w:r>
        <w:rPr>
          <w:rFonts w:ascii="仿宋_GB2312"/>
          <w:b/>
          <w:sz w:val="24"/>
        </w:rPr>
        <w:t>提交</w:t>
      </w:r>
      <w:r>
        <w:rPr>
          <w:rFonts w:hint="eastAsia" w:ascii="仿宋_GB2312"/>
          <w:b/>
          <w:sz w:val="24"/>
        </w:rPr>
        <w:t>。</w:t>
      </w:r>
    </w:p>
    <w:p w14:paraId="05377CBB">
      <w:pPr>
        <w:spacing w:line="440" w:lineRule="atLeast"/>
        <w:ind w:firstLine="964" w:firstLineChars="400"/>
        <w:rPr>
          <w:rFonts w:ascii="仿宋_GB2312"/>
          <w:b/>
          <w:sz w:val="24"/>
        </w:rPr>
      </w:pPr>
      <w:r>
        <w:rPr>
          <w:rFonts w:ascii="仿宋_GB2312"/>
          <w:b/>
          <w:sz w:val="24"/>
        </w:rPr>
        <w:t>2</w:t>
      </w:r>
      <w:r>
        <w:rPr>
          <w:rFonts w:hint="eastAsia" w:ascii="仿宋_GB2312"/>
          <w:b/>
          <w:sz w:val="24"/>
        </w:rPr>
        <w:t>.“政采云”平台填写提交内容须与谈判响应文件中一致。</w:t>
      </w:r>
    </w:p>
    <w:p w14:paraId="3CB8CE2D">
      <w:pPr>
        <w:spacing w:line="440" w:lineRule="atLeast"/>
        <w:ind w:firstLine="1440" w:firstLineChars="600"/>
        <w:rPr>
          <w:rFonts w:ascii="仿宋_GB2312"/>
          <w:sz w:val="24"/>
        </w:rPr>
      </w:pPr>
    </w:p>
    <w:p w14:paraId="18CA6FB0">
      <w:pPr>
        <w:spacing w:line="440" w:lineRule="atLeast"/>
        <w:ind w:firstLine="1440" w:firstLineChars="600"/>
        <w:rPr>
          <w:rFonts w:ascii="仿宋_GB2312"/>
          <w:sz w:val="24"/>
        </w:rPr>
      </w:pPr>
    </w:p>
    <w:p w14:paraId="292B7686">
      <w:pPr>
        <w:spacing w:line="440" w:lineRule="atLeast"/>
        <w:ind w:firstLine="1440" w:firstLineChars="600"/>
        <w:rPr>
          <w:rFonts w:ascii="宋体"/>
          <w:sz w:val="24"/>
        </w:rPr>
      </w:pPr>
      <w:r>
        <w:rPr>
          <w:rFonts w:hint="eastAsia" w:ascii="仿宋_GB2312"/>
          <w:sz w:val="24"/>
        </w:rPr>
        <w:t>响应谈判供应商：（盖公章）                              法定代表人或被授权委托人：（签字或盖章）</w:t>
      </w:r>
    </w:p>
    <w:p w14:paraId="036EC661">
      <w:pPr>
        <w:spacing w:line="440" w:lineRule="atLeast"/>
        <w:rPr>
          <w:rFonts w:ascii="仿宋_GB2312"/>
          <w:sz w:val="24"/>
        </w:rPr>
        <w:sectPr>
          <w:headerReference r:id="rId22" w:type="first"/>
          <w:headerReference r:id="rId20" w:type="default"/>
          <w:footerReference r:id="rId23" w:type="default"/>
          <w:headerReference r:id="rId21" w:type="even"/>
          <w:pgSz w:w="16840" w:h="11907" w:orient="landscape"/>
          <w:pgMar w:top="1531" w:right="1758" w:bottom="1247" w:left="1758" w:header="1134" w:footer="794" w:gutter="170"/>
          <w:paperSrc w:first="25714" w:other="25714"/>
          <w:cols w:space="720" w:num="1"/>
          <w:docGrid w:linePitch="285" w:charSpace="0"/>
        </w:sectPr>
      </w:pPr>
    </w:p>
    <w:p w14:paraId="4BBD2698">
      <w:pPr>
        <w:spacing w:line="440" w:lineRule="atLeast"/>
        <w:jc w:val="center"/>
        <w:rPr>
          <w:rFonts w:ascii="宋体" w:hAnsi="宋体"/>
          <w:b/>
          <w:sz w:val="28"/>
        </w:rPr>
      </w:pPr>
    </w:p>
    <w:p w14:paraId="327E6744">
      <w:pPr>
        <w:spacing w:line="440" w:lineRule="atLeast"/>
        <w:jc w:val="center"/>
        <w:rPr>
          <w:rFonts w:ascii="仿宋_GB2312"/>
          <w:b/>
          <w:sz w:val="28"/>
        </w:rPr>
      </w:pPr>
      <w:r>
        <w:rPr>
          <w:rFonts w:hint="eastAsia" w:ascii="仿宋_GB2312"/>
          <w:b/>
          <w:sz w:val="28"/>
        </w:rPr>
        <w:t>三、响应报价汇总表</w:t>
      </w:r>
    </w:p>
    <w:p w14:paraId="364C7192">
      <w:pPr>
        <w:spacing w:line="360" w:lineRule="auto"/>
        <w:rPr>
          <w:rFonts w:ascii="宋体" w:hAnsi="宋体"/>
          <w:sz w:val="24"/>
        </w:rPr>
      </w:pPr>
    </w:p>
    <w:p w14:paraId="2DADCE06">
      <w:pPr>
        <w:spacing w:line="360" w:lineRule="auto"/>
        <w:jc w:val="left"/>
        <w:rPr>
          <w:rFonts w:ascii="宋体" w:hAnsi="宋体"/>
          <w:sz w:val="24"/>
        </w:rPr>
      </w:pPr>
      <w:r>
        <w:rPr>
          <w:rFonts w:hint="eastAsia" w:ascii="宋体" w:hAnsi="宋体"/>
          <w:sz w:val="24"/>
        </w:rPr>
        <w:t xml:space="preserve">项目名称：           </w:t>
      </w:r>
    </w:p>
    <w:p w14:paraId="7FC589CD">
      <w:pPr>
        <w:spacing w:line="360" w:lineRule="auto"/>
        <w:jc w:val="left"/>
        <w:rPr>
          <w:rFonts w:ascii="宋体" w:hAnsi="宋体"/>
          <w:sz w:val="24"/>
        </w:rPr>
      </w:pPr>
      <w:r>
        <w:rPr>
          <w:rFonts w:hint="eastAsia" w:ascii="宋体" w:hAnsi="宋体"/>
          <w:sz w:val="24"/>
        </w:rPr>
        <w:t>单位：元</w:t>
      </w:r>
    </w:p>
    <w:tbl>
      <w:tblPr>
        <w:tblStyle w:val="41"/>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544"/>
        <w:gridCol w:w="1984"/>
        <w:gridCol w:w="2127"/>
        <w:gridCol w:w="3118"/>
        <w:gridCol w:w="2835"/>
      </w:tblGrid>
      <w:tr w14:paraId="09A29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58448491">
            <w:pPr>
              <w:jc w:val="center"/>
              <w:rPr>
                <w:rFonts w:ascii="宋体" w:hAnsi="宋体"/>
                <w:sz w:val="24"/>
              </w:rPr>
            </w:pPr>
            <w:r>
              <w:rPr>
                <w:rFonts w:hint="eastAsia" w:ascii="宋体" w:hAnsi="宋体"/>
                <w:sz w:val="24"/>
              </w:rPr>
              <w:t>序号</w:t>
            </w:r>
          </w:p>
        </w:tc>
        <w:tc>
          <w:tcPr>
            <w:tcW w:w="3544" w:type="dxa"/>
            <w:vAlign w:val="center"/>
          </w:tcPr>
          <w:p w14:paraId="579E9BB2">
            <w:pPr>
              <w:jc w:val="center"/>
              <w:rPr>
                <w:rFonts w:ascii="宋体" w:hAnsi="宋体"/>
                <w:sz w:val="24"/>
              </w:rPr>
            </w:pPr>
            <w:r>
              <w:rPr>
                <w:rFonts w:hint="eastAsia" w:ascii="宋体" w:hAnsi="宋体"/>
                <w:sz w:val="24"/>
              </w:rPr>
              <w:t>采购货物名称</w:t>
            </w:r>
          </w:p>
        </w:tc>
        <w:tc>
          <w:tcPr>
            <w:tcW w:w="1984" w:type="dxa"/>
            <w:vAlign w:val="center"/>
          </w:tcPr>
          <w:p w14:paraId="7AC7E084">
            <w:pPr>
              <w:jc w:val="center"/>
              <w:rPr>
                <w:rFonts w:ascii="宋体" w:hAnsi="宋体"/>
                <w:sz w:val="24"/>
              </w:rPr>
            </w:pPr>
            <w:r>
              <w:rPr>
                <w:rFonts w:hint="eastAsia" w:ascii="宋体" w:hAnsi="宋体"/>
                <w:sz w:val="24"/>
              </w:rPr>
              <w:t>单位</w:t>
            </w:r>
          </w:p>
        </w:tc>
        <w:tc>
          <w:tcPr>
            <w:tcW w:w="2127" w:type="dxa"/>
            <w:vAlign w:val="center"/>
          </w:tcPr>
          <w:p w14:paraId="60FD1486">
            <w:pPr>
              <w:jc w:val="center"/>
              <w:rPr>
                <w:rFonts w:ascii="宋体" w:hAnsi="宋体"/>
                <w:sz w:val="24"/>
              </w:rPr>
            </w:pPr>
            <w:r>
              <w:rPr>
                <w:rFonts w:hint="eastAsia" w:ascii="宋体" w:hAnsi="宋体"/>
                <w:sz w:val="24"/>
              </w:rPr>
              <w:t>数量</w:t>
            </w:r>
          </w:p>
        </w:tc>
        <w:tc>
          <w:tcPr>
            <w:tcW w:w="3118" w:type="dxa"/>
            <w:vAlign w:val="center"/>
          </w:tcPr>
          <w:p w14:paraId="68093A29">
            <w:pPr>
              <w:jc w:val="center"/>
              <w:rPr>
                <w:rFonts w:ascii="宋体" w:hAnsi="宋体"/>
                <w:sz w:val="24"/>
              </w:rPr>
            </w:pPr>
            <w:r>
              <w:rPr>
                <w:rFonts w:hint="eastAsia" w:ascii="宋体" w:hAnsi="宋体"/>
                <w:sz w:val="24"/>
              </w:rPr>
              <w:t>响应单价</w:t>
            </w:r>
          </w:p>
        </w:tc>
        <w:tc>
          <w:tcPr>
            <w:tcW w:w="2835" w:type="dxa"/>
            <w:vAlign w:val="center"/>
          </w:tcPr>
          <w:p w14:paraId="45091CCC">
            <w:pPr>
              <w:jc w:val="center"/>
              <w:rPr>
                <w:rFonts w:ascii="宋体" w:hAnsi="宋体"/>
                <w:sz w:val="24"/>
              </w:rPr>
            </w:pPr>
            <w:r>
              <w:rPr>
                <w:rFonts w:hint="eastAsia" w:ascii="宋体" w:hAnsi="宋体"/>
                <w:sz w:val="24"/>
              </w:rPr>
              <w:t>响应总价</w:t>
            </w:r>
          </w:p>
        </w:tc>
      </w:tr>
      <w:tr w14:paraId="66A57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3DDA14E1">
            <w:pPr>
              <w:jc w:val="center"/>
              <w:rPr>
                <w:rFonts w:ascii="宋体" w:hAnsi="宋体"/>
                <w:sz w:val="24"/>
              </w:rPr>
            </w:pPr>
            <w:r>
              <w:rPr>
                <w:rFonts w:hint="eastAsia" w:ascii="宋体" w:hAnsi="宋体"/>
                <w:sz w:val="24"/>
              </w:rPr>
              <w:t>1</w:t>
            </w:r>
          </w:p>
        </w:tc>
        <w:tc>
          <w:tcPr>
            <w:tcW w:w="3544" w:type="dxa"/>
            <w:vAlign w:val="center"/>
          </w:tcPr>
          <w:p w14:paraId="725FDFEA">
            <w:pPr>
              <w:jc w:val="center"/>
              <w:rPr>
                <w:rFonts w:ascii="宋体" w:hAnsi="宋体"/>
                <w:sz w:val="24"/>
              </w:rPr>
            </w:pPr>
          </w:p>
        </w:tc>
        <w:tc>
          <w:tcPr>
            <w:tcW w:w="1984" w:type="dxa"/>
            <w:vAlign w:val="center"/>
          </w:tcPr>
          <w:p w14:paraId="631E0E97">
            <w:pPr>
              <w:jc w:val="center"/>
              <w:rPr>
                <w:rFonts w:ascii="宋体" w:hAnsi="宋体"/>
                <w:sz w:val="24"/>
              </w:rPr>
            </w:pPr>
          </w:p>
        </w:tc>
        <w:tc>
          <w:tcPr>
            <w:tcW w:w="2127" w:type="dxa"/>
            <w:vAlign w:val="center"/>
          </w:tcPr>
          <w:p w14:paraId="132296FE">
            <w:pPr>
              <w:jc w:val="center"/>
              <w:rPr>
                <w:rFonts w:ascii="宋体" w:hAnsi="宋体"/>
                <w:sz w:val="24"/>
              </w:rPr>
            </w:pPr>
          </w:p>
        </w:tc>
        <w:tc>
          <w:tcPr>
            <w:tcW w:w="3118" w:type="dxa"/>
            <w:vAlign w:val="center"/>
          </w:tcPr>
          <w:p w14:paraId="31074379">
            <w:pPr>
              <w:jc w:val="center"/>
              <w:rPr>
                <w:rFonts w:ascii="宋体" w:hAnsi="宋体"/>
                <w:sz w:val="24"/>
              </w:rPr>
            </w:pPr>
          </w:p>
        </w:tc>
        <w:tc>
          <w:tcPr>
            <w:tcW w:w="2835" w:type="dxa"/>
            <w:vAlign w:val="center"/>
          </w:tcPr>
          <w:p w14:paraId="7EB45172">
            <w:pPr>
              <w:jc w:val="center"/>
              <w:rPr>
                <w:rFonts w:ascii="宋体" w:hAnsi="宋体"/>
                <w:sz w:val="24"/>
              </w:rPr>
            </w:pPr>
          </w:p>
        </w:tc>
      </w:tr>
      <w:tr w14:paraId="16F47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73CAB903">
            <w:pPr>
              <w:jc w:val="center"/>
              <w:rPr>
                <w:rFonts w:ascii="宋体" w:hAnsi="宋体"/>
                <w:sz w:val="24"/>
              </w:rPr>
            </w:pPr>
            <w:r>
              <w:rPr>
                <w:rFonts w:hint="eastAsia" w:ascii="宋体" w:hAnsi="宋体"/>
                <w:sz w:val="24"/>
              </w:rPr>
              <w:t>2</w:t>
            </w:r>
          </w:p>
        </w:tc>
        <w:tc>
          <w:tcPr>
            <w:tcW w:w="3544" w:type="dxa"/>
            <w:vAlign w:val="center"/>
          </w:tcPr>
          <w:p w14:paraId="432895EF">
            <w:pPr>
              <w:jc w:val="center"/>
              <w:rPr>
                <w:rFonts w:ascii="宋体" w:hAnsi="宋体"/>
                <w:sz w:val="24"/>
              </w:rPr>
            </w:pPr>
          </w:p>
        </w:tc>
        <w:tc>
          <w:tcPr>
            <w:tcW w:w="1984" w:type="dxa"/>
            <w:vAlign w:val="center"/>
          </w:tcPr>
          <w:p w14:paraId="070CD6C2">
            <w:pPr>
              <w:jc w:val="center"/>
              <w:rPr>
                <w:rFonts w:ascii="宋体" w:hAnsi="宋体"/>
                <w:sz w:val="24"/>
              </w:rPr>
            </w:pPr>
          </w:p>
        </w:tc>
        <w:tc>
          <w:tcPr>
            <w:tcW w:w="2127" w:type="dxa"/>
            <w:vAlign w:val="center"/>
          </w:tcPr>
          <w:p w14:paraId="1297774B">
            <w:pPr>
              <w:jc w:val="center"/>
              <w:rPr>
                <w:rFonts w:ascii="宋体" w:hAnsi="宋体"/>
                <w:sz w:val="24"/>
              </w:rPr>
            </w:pPr>
          </w:p>
        </w:tc>
        <w:tc>
          <w:tcPr>
            <w:tcW w:w="3118" w:type="dxa"/>
            <w:vAlign w:val="center"/>
          </w:tcPr>
          <w:p w14:paraId="57C82F2B">
            <w:pPr>
              <w:jc w:val="center"/>
              <w:rPr>
                <w:rFonts w:ascii="宋体" w:hAnsi="宋体"/>
                <w:sz w:val="24"/>
              </w:rPr>
            </w:pPr>
          </w:p>
        </w:tc>
        <w:tc>
          <w:tcPr>
            <w:tcW w:w="2835" w:type="dxa"/>
            <w:vAlign w:val="center"/>
          </w:tcPr>
          <w:p w14:paraId="35C663EE">
            <w:pPr>
              <w:jc w:val="center"/>
              <w:rPr>
                <w:rFonts w:ascii="宋体" w:hAnsi="宋体"/>
                <w:sz w:val="24"/>
              </w:rPr>
            </w:pPr>
          </w:p>
        </w:tc>
      </w:tr>
      <w:tr w14:paraId="33034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3C70078B">
            <w:pPr>
              <w:jc w:val="center"/>
              <w:rPr>
                <w:rFonts w:ascii="宋体" w:hAnsi="宋体"/>
                <w:sz w:val="24"/>
              </w:rPr>
            </w:pPr>
            <w:r>
              <w:rPr>
                <w:rFonts w:hint="eastAsia" w:ascii="宋体" w:hAnsi="宋体"/>
                <w:sz w:val="24"/>
              </w:rPr>
              <w:t>3</w:t>
            </w:r>
          </w:p>
        </w:tc>
        <w:tc>
          <w:tcPr>
            <w:tcW w:w="3544" w:type="dxa"/>
            <w:vAlign w:val="center"/>
          </w:tcPr>
          <w:p w14:paraId="30DE22B5">
            <w:pPr>
              <w:jc w:val="center"/>
              <w:rPr>
                <w:rFonts w:ascii="宋体" w:hAnsi="宋体"/>
                <w:sz w:val="24"/>
              </w:rPr>
            </w:pPr>
          </w:p>
        </w:tc>
        <w:tc>
          <w:tcPr>
            <w:tcW w:w="1984" w:type="dxa"/>
            <w:vAlign w:val="center"/>
          </w:tcPr>
          <w:p w14:paraId="54E650F8">
            <w:pPr>
              <w:jc w:val="center"/>
              <w:rPr>
                <w:rFonts w:ascii="宋体" w:hAnsi="宋体"/>
                <w:sz w:val="24"/>
              </w:rPr>
            </w:pPr>
          </w:p>
        </w:tc>
        <w:tc>
          <w:tcPr>
            <w:tcW w:w="2127" w:type="dxa"/>
            <w:vAlign w:val="center"/>
          </w:tcPr>
          <w:p w14:paraId="22BD246B">
            <w:pPr>
              <w:jc w:val="center"/>
              <w:rPr>
                <w:rFonts w:ascii="宋体" w:hAnsi="宋体"/>
                <w:sz w:val="24"/>
              </w:rPr>
            </w:pPr>
          </w:p>
        </w:tc>
        <w:tc>
          <w:tcPr>
            <w:tcW w:w="3118" w:type="dxa"/>
            <w:vAlign w:val="center"/>
          </w:tcPr>
          <w:p w14:paraId="4D2AED0B">
            <w:pPr>
              <w:jc w:val="center"/>
              <w:rPr>
                <w:rFonts w:ascii="宋体" w:hAnsi="宋体"/>
                <w:sz w:val="24"/>
              </w:rPr>
            </w:pPr>
          </w:p>
        </w:tc>
        <w:tc>
          <w:tcPr>
            <w:tcW w:w="2835" w:type="dxa"/>
            <w:vAlign w:val="center"/>
          </w:tcPr>
          <w:p w14:paraId="02D4A67A">
            <w:pPr>
              <w:jc w:val="center"/>
              <w:rPr>
                <w:rFonts w:ascii="宋体" w:hAnsi="宋体"/>
                <w:sz w:val="24"/>
              </w:rPr>
            </w:pPr>
          </w:p>
        </w:tc>
      </w:tr>
      <w:tr w14:paraId="47C70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1F4FD301">
            <w:pPr>
              <w:jc w:val="center"/>
              <w:rPr>
                <w:rFonts w:ascii="宋体" w:hAnsi="宋体"/>
                <w:sz w:val="24"/>
              </w:rPr>
            </w:pPr>
            <w:r>
              <w:rPr>
                <w:rFonts w:hint="eastAsia" w:ascii="宋体" w:hAnsi="宋体"/>
                <w:sz w:val="24"/>
              </w:rPr>
              <w:t>…</w:t>
            </w:r>
          </w:p>
        </w:tc>
        <w:tc>
          <w:tcPr>
            <w:tcW w:w="3544" w:type="dxa"/>
            <w:vAlign w:val="center"/>
          </w:tcPr>
          <w:p w14:paraId="545E83AF">
            <w:pPr>
              <w:jc w:val="center"/>
              <w:rPr>
                <w:rFonts w:ascii="宋体" w:hAnsi="宋体"/>
                <w:sz w:val="24"/>
              </w:rPr>
            </w:pPr>
          </w:p>
        </w:tc>
        <w:tc>
          <w:tcPr>
            <w:tcW w:w="1984" w:type="dxa"/>
            <w:vAlign w:val="center"/>
          </w:tcPr>
          <w:p w14:paraId="48EEC4DD">
            <w:pPr>
              <w:jc w:val="center"/>
              <w:rPr>
                <w:rFonts w:ascii="宋体" w:hAnsi="宋体"/>
                <w:sz w:val="24"/>
              </w:rPr>
            </w:pPr>
          </w:p>
        </w:tc>
        <w:tc>
          <w:tcPr>
            <w:tcW w:w="2127" w:type="dxa"/>
            <w:vAlign w:val="center"/>
          </w:tcPr>
          <w:p w14:paraId="0B032888">
            <w:pPr>
              <w:jc w:val="center"/>
              <w:rPr>
                <w:rFonts w:ascii="宋体" w:hAnsi="宋体"/>
                <w:sz w:val="24"/>
              </w:rPr>
            </w:pPr>
          </w:p>
        </w:tc>
        <w:tc>
          <w:tcPr>
            <w:tcW w:w="3118" w:type="dxa"/>
            <w:vAlign w:val="center"/>
          </w:tcPr>
          <w:p w14:paraId="13369F82">
            <w:pPr>
              <w:jc w:val="center"/>
              <w:rPr>
                <w:rFonts w:ascii="宋体" w:hAnsi="宋体"/>
                <w:sz w:val="24"/>
              </w:rPr>
            </w:pPr>
          </w:p>
        </w:tc>
        <w:tc>
          <w:tcPr>
            <w:tcW w:w="2835" w:type="dxa"/>
            <w:vAlign w:val="center"/>
          </w:tcPr>
          <w:p w14:paraId="3191F740">
            <w:pPr>
              <w:jc w:val="center"/>
              <w:rPr>
                <w:rFonts w:ascii="宋体" w:hAnsi="宋体"/>
                <w:sz w:val="24"/>
              </w:rPr>
            </w:pPr>
          </w:p>
        </w:tc>
      </w:tr>
      <w:tr w14:paraId="2BB84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253" w:type="dxa"/>
            <w:gridSpan w:val="2"/>
            <w:vAlign w:val="center"/>
          </w:tcPr>
          <w:p w14:paraId="3A83D31D">
            <w:pPr>
              <w:jc w:val="center"/>
              <w:rPr>
                <w:rFonts w:ascii="宋体" w:hAnsi="宋体"/>
                <w:sz w:val="24"/>
              </w:rPr>
            </w:pPr>
            <w:r>
              <w:rPr>
                <w:rFonts w:hint="eastAsia" w:ascii="宋体" w:hAnsi="宋体"/>
                <w:sz w:val="24"/>
              </w:rPr>
              <w:t>合计报价</w:t>
            </w:r>
          </w:p>
        </w:tc>
        <w:tc>
          <w:tcPr>
            <w:tcW w:w="10064" w:type="dxa"/>
            <w:gridSpan w:val="4"/>
            <w:vAlign w:val="center"/>
          </w:tcPr>
          <w:p w14:paraId="6E46C31E">
            <w:pPr>
              <w:jc w:val="center"/>
              <w:rPr>
                <w:rFonts w:ascii="宋体" w:hAnsi="宋体"/>
                <w:sz w:val="24"/>
              </w:rPr>
            </w:pPr>
          </w:p>
        </w:tc>
      </w:tr>
    </w:tbl>
    <w:p w14:paraId="58E03FCC">
      <w:pPr>
        <w:spacing w:line="440" w:lineRule="atLeast"/>
        <w:rPr>
          <w:rFonts w:ascii="仿宋_GB2312"/>
          <w:bCs/>
          <w:sz w:val="24"/>
          <w:szCs w:val="20"/>
        </w:rPr>
      </w:pPr>
    </w:p>
    <w:p w14:paraId="2DFC4E20">
      <w:pPr>
        <w:spacing w:line="440" w:lineRule="atLeast"/>
        <w:rPr>
          <w:rFonts w:ascii="仿宋_GB2312"/>
          <w:bCs/>
          <w:sz w:val="24"/>
          <w:szCs w:val="20"/>
        </w:rPr>
      </w:pPr>
    </w:p>
    <w:p w14:paraId="434DF35F">
      <w:pPr>
        <w:spacing w:line="440" w:lineRule="atLeast"/>
        <w:rPr>
          <w:rFonts w:ascii="仿宋_GB2312"/>
          <w:bCs/>
          <w:sz w:val="24"/>
          <w:szCs w:val="20"/>
        </w:rPr>
      </w:pPr>
      <w:r>
        <w:rPr>
          <w:rFonts w:hint="eastAsia" w:ascii="仿宋_GB2312"/>
          <w:bCs/>
          <w:sz w:val="24"/>
          <w:szCs w:val="20"/>
        </w:rPr>
        <w:t>响应谈判供应商：（公章）</w:t>
      </w:r>
    </w:p>
    <w:p w14:paraId="207E63DF">
      <w:pPr>
        <w:spacing w:line="440" w:lineRule="atLeast"/>
        <w:rPr>
          <w:rFonts w:ascii="仿宋_GB2312"/>
          <w:bCs/>
          <w:sz w:val="24"/>
          <w:szCs w:val="20"/>
        </w:rPr>
      </w:pPr>
    </w:p>
    <w:p w14:paraId="2BCA2C1E">
      <w:pPr>
        <w:spacing w:line="440" w:lineRule="atLeast"/>
        <w:rPr>
          <w:rFonts w:ascii="仿宋_GB2312"/>
          <w:bCs/>
          <w:sz w:val="24"/>
          <w:szCs w:val="20"/>
        </w:rPr>
      </w:pPr>
      <w:r>
        <w:rPr>
          <w:rFonts w:hint="eastAsia" w:ascii="仿宋_GB2312"/>
          <w:bCs/>
          <w:sz w:val="24"/>
          <w:szCs w:val="20"/>
        </w:rPr>
        <w:t>法定代表人或被授权委托人：（签字或</w:t>
      </w:r>
      <w:r>
        <w:rPr>
          <w:rFonts w:ascii="仿宋_GB2312"/>
          <w:bCs/>
          <w:sz w:val="24"/>
          <w:szCs w:val="20"/>
        </w:rPr>
        <w:t>盖章</w:t>
      </w:r>
      <w:r>
        <w:rPr>
          <w:rFonts w:hint="eastAsia" w:ascii="仿宋_GB2312"/>
          <w:bCs/>
          <w:sz w:val="24"/>
          <w:szCs w:val="20"/>
        </w:rPr>
        <w:t xml:space="preserve">） </w:t>
      </w:r>
    </w:p>
    <w:p w14:paraId="060B4708">
      <w:pPr>
        <w:spacing w:line="440" w:lineRule="atLeast"/>
        <w:rPr>
          <w:rFonts w:ascii="仿宋_GB2312"/>
          <w:bCs/>
          <w:sz w:val="24"/>
          <w:szCs w:val="20"/>
        </w:rPr>
      </w:pPr>
    </w:p>
    <w:p w14:paraId="79B09FFF">
      <w:pPr>
        <w:spacing w:line="440" w:lineRule="atLeast"/>
        <w:rPr>
          <w:rFonts w:ascii="仿宋_GB2312"/>
          <w:bCs/>
          <w:sz w:val="24"/>
          <w:szCs w:val="20"/>
        </w:rPr>
      </w:pPr>
      <w:r>
        <w:rPr>
          <w:rFonts w:hint="eastAsia" w:ascii="仿宋_GB2312"/>
          <w:bCs/>
          <w:sz w:val="24"/>
          <w:szCs w:val="20"/>
        </w:rPr>
        <w:t>日期：   年   月    日</w:t>
      </w:r>
    </w:p>
    <w:p w14:paraId="07F6EC48">
      <w:pPr>
        <w:pStyle w:val="49"/>
        <w:widowControl w:val="0"/>
        <w:spacing w:before="0" w:beforeAutospacing="0" w:after="0" w:afterAutospacing="0" w:line="440" w:lineRule="atLeast"/>
        <w:rPr>
          <w:rFonts w:ascii="宋体" w:hAnsi="Times New Roman" w:eastAsia="宋体"/>
          <w:kern w:val="2"/>
          <w:szCs w:val="20"/>
        </w:rPr>
      </w:pPr>
    </w:p>
    <w:p w14:paraId="05629E41">
      <w:pPr>
        <w:pStyle w:val="49"/>
        <w:widowControl w:val="0"/>
        <w:spacing w:before="0" w:beforeAutospacing="0" w:after="0" w:afterAutospacing="0" w:line="440" w:lineRule="atLeast"/>
        <w:rPr>
          <w:rFonts w:ascii="宋体" w:hAnsi="Times New Roman" w:eastAsia="宋体"/>
          <w:kern w:val="2"/>
          <w:szCs w:val="20"/>
        </w:rPr>
      </w:pPr>
    </w:p>
    <w:p w14:paraId="26D33656">
      <w:pPr>
        <w:spacing w:line="440" w:lineRule="atLeast"/>
        <w:jc w:val="center"/>
        <w:rPr>
          <w:b/>
          <w:sz w:val="24"/>
        </w:rPr>
      </w:pPr>
      <w:bookmarkStart w:id="54" w:name="_Hlk26283175"/>
      <w:r>
        <w:rPr>
          <w:rFonts w:hint="eastAsia"/>
          <w:b/>
          <w:sz w:val="24"/>
        </w:rPr>
        <w:t>四、</w:t>
      </w:r>
      <w:r>
        <w:rPr>
          <w:rFonts w:hint="eastAsia" w:ascii="仿宋_GB2312"/>
          <w:b/>
          <w:bCs/>
          <w:spacing w:val="46"/>
          <w:sz w:val="28"/>
        </w:rPr>
        <w:t>响应首次报价明细表</w:t>
      </w:r>
    </w:p>
    <w:p w14:paraId="0FD85338">
      <w:pPr>
        <w:spacing w:line="440" w:lineRule="atLeast"/>
        <w:jc w:val="left"/>
        <w:rPr>
          <w:bCs/>
          <w:sz w:val="24"/>
        </w:rPr>
      </w:pPr>
      <w:bookmarkStart w:id="55" w:name="OLE_LINK28"/>
      <w:bookmarkStart w:id="56" w:name="OLE_LINK29"/>
      <w:r>
        <w:rPr>
          <w:rFonts w:hint="eastAsia"/>
          <w:bCs/>
          <w:sz w:val="24"/>
        </w:rPr>
        <w:t>项目名称：                                                                                            单位：元</w:t>
      </w:r>
    </w:p>
    <w:tbl>
      <w:tblPr>
        <w:tblStyle w:val="41"/>
        <w:tblW w:w="14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82"/>
        <w:gridCol w:w="1277"/>
        <w:gridCol w:w="1277"/>
        <w:gridCol w:w="1276"/>
        <w:gridCol w:w="2411"/>
        <w:gridCol w:w="780"/>
        <w:gridCol w:w="1206"/>
        <w:gridCol w:w="993"/>
        <w:gridCol w:w="1276"/>
        <w:gridCol w:w="1193"/>
      </w:tblGrid>
      <w:tr w14:paraId="57787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78FD33E0">
            <w:pPr>
              <w:spacing w:line="440" w:lineRule="atLeast"/>
              <w:jc w:val="center"/>
              <w:rPr>
                <w:bCs/>
                <w:sz w:val="24"/>
              </w:rPr>
            </w:pPr>
            <w:bookmarkStart w:id="57" w:name="_Hlk33187501"/>
            <w:r>
              <w:rPr>
                <w:rFonts w:hint="eastAsia"/>
                <w:bCs/>
                <w:sz w:val="24"/>
              </w:rPr>
              <w:t>序号</w:t>
            </w:r>
          </w:p>
        </w:tc>
        <w:tc>
          <w:tcPr>
            <w:tcW w:w="2481" w:type="dxa"/>
            <w:tcBorders>
              <w:top w:val="single" w:color="auto" w:sz="4" w:space="0"/>
              <w:left w:val="single" w:color="auto" w:sz="4" w:space="0"/>
              <w:bottom w:val="single" w:color="auto" w:sz="4" w:space="0"/>
              <w:right w:val="single" w:color="auto" w:sz="4" w:space="0"/>
            </w:tcBorders>
            <w:vAlign w:val="center"/>
          </w:tcPr>
          <w:p w14:paraId="24BC22D8">
            <w:pPr>
              <w:spacing w:line="440" w:lineRule="atLeast"/>
              <w:jc w:val="center"/>
              <w:rPr>
                <w:bCs/>
                <w:sz w:val="24"/>
              </w:rPr>
            </w:pPr>
            <w:r>
              <w:rPr>
                <w:rFonts w:hint="eastAsia"/>
                <w:bCs/>
                <w:sz w:val="24"/>
              </w:rPr>
              <w:t>采购货物名称</w:t>
            </w:r>
          </w:p>
        </w:tc>
        <w:tc>
          <w:tcPr>
            <w:tcW w:w="1276" w:type="dxa"/>
            <w:tcBorders>
              <w:top w:val="single" w:color="auto" w:sz="4" w:space="0"/>
              <w:left w:val="single" w:color="auto" w:sz="4" w:space="0"/>
              <w:bottom w:val="single" w:color="auto" w:sz="4" w:space="0"/>
              <w:right w:val="single" w:color="auto" w:sz="4" w:space="0"/>
            </w:tcBorders>
            <w:vAlign w:val="center"/>
          </w:tcPr>
          <w:p w14:paraId="609185B8">
            <w:pPr>
              <w:spacing w:line="440" w:lineRule="atLeast"/>
              <w:jc w:val="center"/>
              <w:rPr>
                <w:bCs/>
                <w:sz w:val="24"/>
              </w:rPr>
            </w:pPr>
            <w:r>
              <w:rPr>
                <w:rFonts w:hint="eastAsia"/>
                <w:bCs/>
                <w:sz w:val="24"/>
              </w:rPr>
              <w:t>产地</w:t>
            </w:r>
          </w:p>
        </w:tc>
        <w:tc>
          <w:tcPr>
            <w:tcW w:w="1276" w:type="dxa"/>
            <w:tcBorders>
              <w:top w:val="single" w:color="auto" w:sz="4" w:space="0"/>
              <w:left w:val="single" w:color="auto" w:sz="4" w:space="0"/>
              <w:bottom w:val="single" w:color="auto" w:sz="4" w:space="0"/>
              <w:right w:val="single" w:color="auto" w:sz="4" w:space="0"/>
            </w:tcBorders>
            <w:vAlign w:val="center"/>
          </w:tcPr>
          <w:p w14:paraId="49C3C819">
            <w:pPr>
              <w:spacing w:line="440" w:lineRule="atLeast"/>
              <w:jc w:val="center"/>
              <w:rPr>
                <w:bCs/>
                <w:sz w:val="24"/>
              </w:rPr>
            </w:pPr>
            <w:r>
              <w:rPr>
                <w:rFonts w:hint="eastAsia"/>
                <w:bCs/>
                <w:sz w:val="24"/>
              </w:rPr>
              <w:t>响应谈判货物品牌</w:t>
            </w:r>
          </w:p>
        </w:tc>
        <w:tc>
          <w:tcPr>
            <w:tcW w:w="1275" w:type="dxa"/>
            <w:tcBorders>
              <w:top w:val="single" w:color="auto" w:sz="4" w:space="0"/>
              <w:left w:val="single" w:color="auto" w:sz="4" w:space="0"/>
              <w:bottom w:val="single" w:color="auto" w:sz="4" w:space="0"/>
              <w:right w:val="single" w:color="auto" w:sz="4" w:space="0"/>
            </w:tcBorders>
            <w:vAlign w:val="center"/>
          </w:tcPr>
          <w:p w14:paraId="76E04244">
            <w:pPr>
              <w:spacing w:line="440" w:lineRule="atLeast"/>
              <w:jc w:val="center"/>
              <w:rPr>
                <w:bCs/>
                <w:sz w:val="24"/>
              </w:rPr>
            </w:pPr>
            <w:r>
              <w:rPr>
                <w:rFonts w:hint="eastAsia"/>
                <w:bCs/>
                <w:sz w:val="24"/>
              </w:rPr>
              <w:t>响应谈判货物型号</w:t>
            </w:r>
          </w:p>
        </w:tc>
        <w:tc>
          <w:tcPr>
            <w:tcW w:w="2410" w:type="dxa"/>
            <w:tcBorders>
              <w:top w:val="single" w:color="auto" w:sz="4" w:space="0"/>
              <w:left w:val="single" w:color="auto" w:sz="4" w:space="0"/>
              <w:bottom w:val="single" w:color="auto" w:sz="4" w:space="0"/>
              <w:right w:val="single" w:color="auto" w:sz="4" w:space="0"/>
            </w:tcBorders>
            <w:vAlign w:val="center"/>
          </w:tcPr>
          <w:p w14:paraId="145B2D15">
            <w:pPr>
              <w:spacing w:line="440" w:lineRule="atLeast"/>
              <w:jc w:val="center"/>
              <w:rPr>
                <w:bCs/>
                <w:sz w:val="24"/>
              </w:rPr>
            </w:pPr>
            <w:r>
              <w:rPr>
                <w:rFonts w:hint="eastAsia"/>
                <w:bCs/>
                <w:sz w:val="24"/>
              </w:rPr>
              <w:t>响应谈判货物技术参数</w:t>
            </w:r>
          </w:p>
        </w:tc>
        <w:tc>
          <w:tcPr>
            <w:tcW w:w="780" w:type="dxa"/>
            <w:tcBorders>
              <w:top w:val="single" w:color="auto" w:sz="4" w:space="0"/>
              <w:left w:val="single" w:color="auto" w:sz="4" w:space="0"/>
              <w:bottom w:val="single" w:color="auto" w:sz="4" w:space="0"/>
              <w:right w:val="single" w:color="auto" w:sz="4" w:space="0"/>
            </w:tcBorders>
            <w:vAlign w:val="center"/>
          </w:tcPr>
          <w:p w14:paraId="08DD3435">
            <w:pPr>
              <w:spacing w:line="440" w:lineRule="atLeast"/>
              <w:jc w:val="center"/>
              <w:rPr>
                <w:bCs/>
                <w:sz w:val="24"/>
              </w:rPr>
            </w:pPr>
            <w:r>
              <w:rPr>
                <w:rFonts w:hint="eastAsia"/>
                <w:bCs/>
                <w:sz w:val="24"/>
              </w:rPr>
              <w:t>单位</w:t>
            </w:r>
          </w:p>
        </w:tc>
        <w:tc>
          <w:tcPr>
            <w:tcW w:w="1205" w:type="dxa"/>
            <w:tcBorders>
              <w:top w:val="single" w:color="auto" w:sz="4" w:space="0"/>
              <w:left w:val="single" w:color="auto" w:sz="4" w:space="0"/>
              <w:bottom w:val="single" w:color="auto" w:sz="4" w:space="0"/>
              <w:right w:val="single" w:color="auto" w:sz="4" w:space="0"/>
            </w:tcBorders>
            <w:vAlign w:val="center"/>
          </w:tcPr>
          <w:p w14:paraId="292883DC">
            <w:pPr>
              <w:spacing w:line="440" w:lineRule="atLeast"/>
              <w:jc w:val="center"/>
              <w:rPr>
                <w:bCs/>
                <w:sz w:val="24"/>
              </w:rPr>
            </w:pPr>
            <w:r>
              <w:rPr>
                <w:rFonts w:hint="eastAsia"/>
                <w:bCs/>
                <w:sz w:val="24"/>
              </w:rPr>
              <w:t>预算单价</w:t>
            </w:r>
          </w:p>
        </w:tc>
        <w:tc>
          <w:tcPr>
            <w:tcW w:w="993" w:type="dxa"/>
            <w:tcBorders>
              <w:top w:val="single" w:color="auto" w:sz="4" w:space="0"/>
              <w:left w:val="single" w:color="auto" w:sz="4" w:space="0"/>
              <w:bottom w:val="single" w:color="auto" w:sz="4" w:space="0"/>
              <w:right w:val="single" w:color="auto" w:sz="4" w:space="0"/>
            </w:tcBorders>
            <w:vAlign w:val="center"/>
          </w:tcPr>
          <w:p w14:paraId="12576804">
            <w:pPr>
              <w:spacing w:line="440" w:lineRule="atLeast"/>
              <w:jc w:val="center"/>
              <w:rPr>
                <w:bCs/>
                <w:sz w:val="24"/>
              </w:rPr>
            </w:pPr>
            <w:r>
              <w:rPr>
                <w:rFonts w:hint="eastAsia"/>
                <w:bCs/>
                <w:sz w:val="24"/>
              </w:rPr>
              <w:t>数量</w:t>
            </w:r>
          </w:p>
        </w:tc>
        <w:tc>
          <w:tcPr>
            <w:tcW w:w="1275" w:type="dxa"/>
            <w:tcBorders>
              <w:top w:val="single" w:color="auto" w:sz="4" w:space="0"/>
              <w:left w:val="single" w:color="auto" w:sz="4" w:space="0"/>
              <w:bottom w:val="single" w:color="auto" w:sz="4" w:space="0"/>
              <w:right w:val="single" w:color="auto" w:sz="4" w:space="0"/>
            </w:tcBorders>
            <w:vAlign w:val="center"/>
          </w:tcPr>
          <w:p w14:paraId="3E3E13CE">
            <w:pPr>
              <w:spacing w:line="440" w:lineRule="atLeast"/>
              <w:jc w:val="center"/>
              <w:rPr>
                <w:bCs/>
                <w:sz w:val="24"/>
              </w:rPr>
            </w:pPr>
            <w:r>
              <w:rPr>
                <w:rFonts w:hint="eastAsia"/>
                <w:bCs/>
                <w:sz w:val="24"/>
              </w:rPr>
              <w:t>响应单价</w:t>
            </w:r>
          </w:p>
        </w:tc>
        <w:tc>
          <w:tcPr>
            <w:tcW w:w="1192" w:type="dxa"/>
            <w:tcBorders>
              <w:top w:val="single" w:color="auto" w:sz="4" w:space="0"/>
              <w:left w:val="single" w:color="auto" w:sz="4" w:space="0"/>
              <w:bottom w:val="single" w:color="auto" w:sz="4" w:space="0"/>
              <w:right w:val="single" w:color="auto" w:sz="4" w:space="0"/>
            </w:tcBorders>
            <w:vAlign w:val="center"/>
          </w:tcPr>
          <w:p w14:paraId="6E8AA212">
            <w:pPr>
              <w:spacing w:line="440" w:lineRule="atLeast"/>
              <w:jc w:val="center"/>
              <w:rPr>
                <w:bCs/>
                <w:sz w:val="24"/>
              </w:rPr>
            </w:pPr>
            <w:r>
              <w:rPr>
                <w:rFonts w:hint="eastAsia"/>
                <w:bCs/>
                <w:sz w:val="24"/>
              </w:rPr>
              <w:t>响应总价</w:t>
            </w:r>
          </w:p>
        </w:tc>
      </w:tr>
      <w:tr w14:paraId="2BF4A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446EE15B">
            <w:pPr>
              <w:spacing w:line="440" w:lineRule="atLeast"/>
              <w:jc w:val="center"/>
              <w:rPr>
                <w:bCs/>
                <w:sz w:val="24"/>
              </w:rPr>
            </w:pPr>
            <w:r>
              <w:rPr>
                <w:rFonts w:hint="eastAsia"/>
                <w:bCs/>
                <w:sz w:val="24"/>
              </w:rPr>
              <w:t>1</w:t>
            </w:r>
          </w:p>
        </w:tc>
        <w:tc>
          <w:tcPr>
            <w:tcW w:w="2481" w:type="dxa"/>
            <w:tcBorders>
              <w:top w:val="single" w:color="auto" w:sz="4" w:space="0"/>
              <w:left w:val="single" w:color="auto" w:sz="4" w:space="0"/>
              <w:bottom w:val="single" w:color="auto" w:sz="4" w:space="0"/>
              <w:right w:val="single" w:color="auto" w:sz="4" w:space="0"/>
            </w:tcBorders>
            <w:vAlign w:val="center"/>
          </w:tcPr>
          <w:p w14:paraId="6CC84835">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A870586">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08EBD1A8">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59D6C3B1">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F1E36D8">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652AB244">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3205C494">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2532E7F">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6C2B719C">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59B265B5">
            <w:pPr>
              <w:spacing w:line="440" w:lineRule="atLeast"/>
              <w:jc w:val="center"/>
              <w:rPr>
                <w:bCs/>
                <w:sz w:val="24"/>
              </w:rPr>
            </w:pPr>
          </w:p>
        </w:tc>
      </w:tr>
      <w:tr w14:paraId="5C9A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6435DB68">
            <w:pPr>
              <w:spacing w:line="440" w:lineRule="atLeast"/>
              <w:jc w:val="center"/>
              <w:rPr>
                <w:bCs/>
                <w:sz w:val="24"/>
              </w:rPr>
            </w:pPr>
            <w:r>
              <w:rPr>
                <w:rFonts w:hint="eastAsia"/>
                <w:bCs/>
                <w:sz w:val="24"/>
              </w:rPr>
              <w:t>2</w:t>
            </w:r>
          </w:p>
        </w:tc>
        <w:tc>
          <w:tcPr>
            <w:tcW w:w="2481" w:type="dxa"/>
            <w:tcBorders>
              <w:top w:val="single" w:color="auto" w:sz="4" w:space="0"/>
              <w:left w:val="single" w:color="auto" w:sz="4" w:space="0"/>
              <w:bottom w:val="single" w:color="auto" w:sz="4" w:space="0"/>
              <w:right w:val="single" w:color="auto" w:sz="4" w:space="0"/>
            </w:tcBorders>
            <w:vAlign w:val="center"/>
          </w:tcPr>
          <w:p w14:paraId="012F0EA9">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05520FC3">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38335F51">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25DC8399">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7B13EA7">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05BD5DBF">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4CC20A07">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B079DBC">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7E3B2469">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3DF0DEA9">
            <w:pPr>
              <w:spacing w:line="440" w:lineRule="atLeast"/>
              <w:jc w:val="center"/>
              <w:rPr>
                <w:bCs/>
                <w:sz w:val="24"/>
              </w:rPr>
            </w:pPr>
          </w:p>
        </w:tc>
      </w:tr>
      <w:tr w14:paraId="1A14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37AF989D">
            <w:pPr>
              <w:spacing w:line="440" w:lineRule="atLeast"/>
              <w:jc w:val="center"/>
              <w:rPr>
                <w:bCs/>
                <w:sz w:val="24"/>
              </w:rPr>
            </w:pPr>
            <w:r>
              <w:rPr>
                <w:rFonts w:hint="eastAsia"/>
                <w:bCs/>
                <w:sz w:val="24"/>
              </w:rPr>
              <w:t>3</w:t>
            </w:r>
          </w:p>
        </w:tc>
        <w:tc>
          <w:tcPr>
            <w:tcW w:w="2481" w:type="dxa"/>
            <w:tcBorders>
              <w:top w:val="single" w:color="auto" w:sz="4" w:space="0"/>
              <w:left w:val="single" w:color="auto" w:sz="4" w:space="0"/>
              <w:bottom w:val="single" w:color="auto" w:sz="4" w:space="0"/>
              <w:right w:val="single" w:color="auto" w:sz="4" w:space="0"/>
            </w:tcBorders>
            <w:vAlign w:val="center"/>
          </w:tcPr>
          <w:p w14:paraId="667E7FD9">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1DFB863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559CD44">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71249440">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23584055">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0BA8B1B5">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61B62267">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352A55B">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349E6907">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3C300AA2">
            <w:pPr>
              <w:spacing w:line="440" w:lineRule="atLeast"/>
              <w:jc w:val="center"/>
              <w:rPr>
                <w:bCs/>
                <w:sz w:val="24"/>
              </w:rPr>
            </w:pPr>
          </w:p>
        </w:tc>
      </w:tr>
      <w:tr w14:paraId="1202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2952B3EA">
            <w:pPr>
              <w:spacing w:line="440" w:lineRule="atLeast"/>
              <w:jc w:val="center"/>
              <w:rPr>
                <w:bCs/>
                <w:sz w:val="24"/>
              </w:rPr>
            </w:pPr>
            <w:r>
              <w:rPr>
                <w:rFonts w:hint="eastAsia"/>
                <w:bCs/>
                <w:sz w:val="24"/>
              </w:rPr>
              <w:t>…</w:t>
            </w:r>
          </w:p>
        </w:tc>
        <w:tc>
          <w:tcPr>
            <w:tcW w:w="2481" w:type="dxa"/>
            <w:tcBorders>
              <w:top w:val="single" w:color="auto" w:sz="4" w:space="0"/>
              <w:left w:val="single" w:color="auto" w:sz="4" w:space="0"/>
              <w:bottom w:val="single" w:color="auto" w:sz="4" w:space="0"/>
              <w:right w:val="single" w:color="auto" w:sz="4" w:space="0"/>
            </w:tcBorders>
            <w:vAlign w:val="center"/>
          </w:tcPr>
          <w:p w14:paraId="64CCE27C">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3199E05">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8CFD9AB">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48DE4345">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1C79938">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314DA314">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0A7616C7">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6F5481F8">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180AF158">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76D98652">
            <w:pPr>
              <w:spacing w:line="440" w:lineRule="atLeast"/>
              <w:jc w:val="center"/>
              <w:rPr>
                <w:bCs/>
                <w:sz w:val="24"/>
              </w:rPr>
            </w:pPr>
          </w:p>
        </w:tc>
      </w:tr>
      <w:tr w14:paraId="0759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3206" w:type="dxa"/>
            <w:gridSpan w:val="2"/>
            <w:tcBorders>
              <w:top w:val="single" w:color="auto" w:sz="4" w:space="0"/>
              <w:left w:val="single" w:color="auto" w:sz="4" w:space="0"/>
              <w:bottom w:val="single" w:color="auto" w:sz="4" w:space="0"/>
              <w:right w:val="single" w:color="auto" w:sz="4" w:space="0"/>
            </w:tcBorders>
            <w:vAlign w:val="center"/>
          </w:tcPr>
          <w:p w14:paraId="15F0C89C">
            <w:pPr>
              <w:spacing w:line="440" w:lineRule="atLeast"/>
              <w:jc w:val="center"/>
              <w:rPr>
                <w:bCs/>
                <w:sz w:val="24"/>
              </w:rPr>
            </w:pPr>
            <w:r>
              <w:rPr>
                <w:rFonts w:hint="eastAsia"/>
                <w:bCs/>
                <w:sz w:val="24"/>
              </w:rPr>
              <w:t>合计报价：</w:t>
            </w:r>
          </w:p>
        </w:tc>
        <w:tc>
          <w:tcPr>
            <w:tcW w:w="11682" w:type="dxa"/>
            <w:gridSpan w:val="9"/>
            <w:tcBorders>
              <w:top w:val="single" w:color="auto" w:sz="4" w:space="0"/>
              <w:left w:val="single" w:color="auto" w:sz="4" w:space="0"/>
              <w:bottom w:val="single" w:color="auto" w:sz="4" w:space="0"/>
              <w:right w:val="single" w:color="auto" w:sz="4" w:space="0"/>
            </w:tcBorders>
            <w:vAlign w:val="center"/>
          </w:tcPr>
          <w:p w14:paraId="514CB8C6">
            <w:pPr>
              <w:spacing w:line="440" w:lineRule="atLeast"/>
              <w:jc w:val="center"/>
              <w:rPr>
                <w:bCs/>
                <w:sz w:val="24"/>
              </w:rPr>
            </w:pPr>
          </w:p>
        </w:tc>
      </w:tr>
      <w:bookmarkEnd w:id="55"/>
      <w:bookmarkEnd w:id="56"/>
      <w:bookmarkEnd w:id="57"/>
    </w:tbl>
    <w:p w14:paraId="0DF5B7A2">
      <w:pPr>
        <w:spacing w:line="440" w:lineRule="atLeast"/>
        <w:jc w:val="left"/>
        <w:rPr>
          <w:b/>
          <w:bCs/>
          <w:sz w:val="24"/>
        </w:rPr>
      </w:pPr>
      <w:r>
        <w:rPr>
          <w:rFonts w:hint="eastAsia"/>
          <w:b/>
          <w:bCs/>
          <w:sz w:val="24"/>
        </w:rPr>
        <w:t>注：响应谈判货物技术参数应按采购文件第二章货物需求中货物参数逐条填写，应填写响应谈判货物的实际参数，否则响应无效。</w:t>
      </w:r>
    </w:p>
    <w:p w14:paraId="26927F38">
      <w:pPr>
        <w:spacing w:line="440" w:lineRule="atLeast"/>
        <w:jc w:val="left"/>
        <w:rPr>
          <w:b/>
          <w:bCs/>
          <w:sz w:val="24"/>
        </w:rPr>
      </w:pPr>
    </w:p>
    <w:p w14:paraId="5D27581D">
      <w:pPr>
        <w:spacing w:line="440" w:lineRule="atLeast"/>
        <w:jc w:val="left"/>
        <w:rPr>
          <w:sz w:val="24"/>
        </w:rPr>
      </w:pPr>
      <w:r>
        <w:rPr>
          <w:rFonts w:hint="eastAsia"/>
          <w:sz w:val="24"/>
        </w:rPr>
        <w:t>响应谈判供应商：（公章）</w:t>
      </w:r>
    </w:p>
    <w:p w14:paraId="496C4965">
      <w:pPr>
        <w:spacing w:line="440" w:lineRule="atLeast"/>
        <w:jc w:val="left"/>
        <w:rPr>
          <w:sz w:val="24"/>
        </w:rPr>
      </w:pPr>
    </w:p>
    <w:p w14:paraId="5A488101">
      <w:pPr>
        <w:spacing w:line="440" w:lineRule="atLeast"/>
        <w:jc w:val="left"/>
        <w:rPr>
          <w:sz w:val="24"/>
        </w:rPr>
      </w:pPr>
      <w:r>
        <w:rPr>
          <w:rFonts w:hint="eastAsia"/>
          <w:sz w:val="24"/>
        </w:rPr>
        <w:t xml:space="preserve">法定代表人或被授权委托人（签字或盖章）： </w:t>
      </w:r>
    </w:p>
    <w:p w14:paraId="2A89F0FC">
      <w:pPr>
        <w:spacing w:line="440" w:lineRule="atLeast"/>
        <w:jc w:val="left"/>
        <w:rPr>
          <w:sz w:val="24"/>
        </w:rPr>
      </w:pPr>
    </w:p>
    <w:p w14:paraId="08EEC36D">
      <w:pPr>
        <w:spacing w:line="440" w:lineRule="atLeast"/>
        <w:jc w:val="left"/>
        <w:rPr>
          <w:sz w:val="24"/>
        </w:rPr>
      </w:pPr>
      <w:bookmarkStart w:id="58" w:name="OLE_LINK19"/>
      <w:r>
        <w:rPr>
          <w:rFonts w:hint="eastAsia"/>
          <w:sz w:val="24"/>
        </w:rPr>
        <w:t>日期：   年   月    日</w:t>
      </w:r>
    </w:p>
    <w:bookmarkEnd w:id="58"/>
    <w:p w14:paraId="4ACBD1D6">
      <w:pPr>
        <w:spacing w:line="440" w:lineRule="atLeast"/>
        <w:jc w:val="center"/>
        <w:rPr>
          <w:b/>
          <w:sz w:val="24"/>
        </w:rPr>
        <w:sectPr>
          <w:pgSz w:w="16840" w:h="11907" w:orient="landscape"/>
          <w:pgMar w:top="1418" w:right="1134" w:bottom="1134" w:left="1134" w:header="1021" w:footer="1021" w:gutter="0"/>
          <w:cols w:space="720" w:num="1"/>
        </w:sectPr>
      </w:pPr>
    </w:p>
    <w:p w14:paraId="083DE326">
      <w:pPr>
        <w:tabs>
          <w:tab w:val="left" w:pos="1935"/>
        </w:tabs>
        <w:rPr>
          <w:rFonts w:ascii="宋体" w:cs="Arial Unicode MS"/>
          <w:sz w:val="24"/>
          <w:szCs w:val="20"/>
        </w:rPr>
      </w:pPr>
      <w:r>
        <w:rPr>
          <w:b/>
          <w:sz w:val="24"/>
        </w:rPr>
        <w:tab/>
      </w:r>
      <w:bookmarkEnd w:id="54"/>
    </w:p>
    <w:p w14:paraId="493FEB91">
      <w:pPr>
        <w:spacing w:line="440" w:lineRule="atLeast"/>
        <w:jc w:val="center"/>
        <w:rPr>
          <w:rFonts w:ascii="仿宋_GB2312"/>
          <w:b/>
          <w:bCs/>
          <w:spacing w:val="46"/>
          <w:sz w:val="28"/>
        </w:rPr>
      </w:pPr>
      <w:r>
        <w:rPr>
          <w:rFonts w:hint="eastAsia" w:ascii="仿宋_GB2312"/>
          <w:b/>
          <w:bCs/>
          <w:spacing w:val="46"/>
          <w:sz w:val="28"/>
        </w:rPr>
        <w:t>五、谈判响应最终报价表</w:t>
      </w:r>
    </w:p>
    <w:p w14:paraId="343CED72">
      <w:pPr>
        <w:spacing w:line="440" w:lineRule="atLeast"/>
        <w:rPr>
          <w:rFonts w:ascii="仿宋_GB2312"/>
          <w:b/>
          <w:bCs/>
          <w:spacing w:val="46"/>
          <w:sz w:val="28"/>
        </w:rPr>
      </w:pPr>
    </w:p>
    <w:p w14:paraId="206E0B1A">
      <w:pPr>
        <w:spacing w:line="440" w:lineRule="atLeast"/>
        <w:ind w:firstLine="120" w:firstLineChars="50"/>
        <w:rPr>
          <w:rFonts w:ascii="仿宋_GB2312"/>
          <w:sz w:val="24"/>
        </w:rPr>
      </w:pPr>
      <w:r>
        <w:rPr>
          <w:rFonts w:hint="eastAsia" w:ascii="仿宋_GB2312"/>
          <w:sz w:val="24"/>
        </w:rPr>
        <w:t xml:space="preserve">项目名称： </w:t>
      </w:r>
    </w:p>
    <w:p w14:paraId="38ACB25F">
      <w:pPr>
        <w:spacing w:line="440" w:lineRule="atLeast"/>
        <w:ind w:left="105" w:leftChars="50"/>
        <w:rPr>
          <w:rFonts w:ascii="宋体"/>
          <w:sz w:val="24"/>
        </w:rPr>
      </w:pPr>
      <w:r>
        <w:rPr>
          <w:rFonts w:hint="eastAsia" w:ascii="仿宋_GB2312"/>
          <w:sz w:val="24"/>
        </w:rPr>
        <w:t>项目编号：</w:t>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ascii="宋体"/>
          <w:sz w:val="24"/>
        </w:rPr>
        <w:t xml:space="preserve">            </w:t>
      </w:r>
      <w:r>
        <w:rPr>
          <w:rFonts w:hint="eastAsia" w:ascii="宋体"/>
          <w:sz w:val="24"/>
        </w:rPr>
        <w:t xml:space="preserve">                     </w:t>
      </w:r>
      <w:r>
        <w:rPr>
          <w:rFonts w:hint="eastAsia" w:ascii="仿宋_GB2312"/>
          <w:sz w:val="24"/>
        </w:rPr>
        <w:t>谈判时间：   年  月  日</w:t>
      </w:r>
    </w:p>
    <w:tbl>
      <w:tblPr>
        <w:tblStyle w:val="41"/>
        <w:tblW w:w="134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835"/>
        <w:gridCol w:w="3260"/>
        <w:gridCol w:w="1560"/>
        <w:gridCol w:w="2976"/>
      </w:tblGrid>
      <w:tr w14:paraId="2556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2864" w:type="dxa"/>
            <w:tcBorders>
              <w:bottom w:val="single" w:color="auto" w:sz="4" w:space="0"/>
            </w:tcBorders>
            <w:vAlign w:val="center"/>
          </w:tcPr>
          <w:p w14:paraId="5443BCC1">
            <w:pPr>
              <w:spacing w:line="440" w:lineRule="atLeast"/>
              <w:jc w:val="center"/>
              <w:rPr>
                <w:rFonts w:ascii="仿宋_GB2312"/>
                <w:sz w:val="24"/>
              </w:rPr>
            </w:pPr>
            <w:r>
              <w:rPr>
                <w:rFonts w:hint="eastAsia" w:ascii="仿宋_GB2312"/>
                <w:sz w:val="24"/>
              </w:rPr>
              <w:t>响应谈判供应商名称</w:t>
            </w:r>
          </w:p>
        </w:tc>
        <w:tc>
          <w:tcPr>
            <w:tcW w:w="2835" w:type="dxa"/>
            <w:tcBorders>
              <w:bottom w:val="single" w:color="auto" w:sz="4" w:space="0"/>
            </w:tcBorders>
            <w:vAlign w:val="center"/>
          </w:tcPr>
          <w:p w14:paraId="45AD1493">
            <w:pPr>
              <w:spacing w:line="440" w:lineRule="atLeast"/>
              <w:jc w:val="center"/>
              <w:rPr>
                <w:rFonts w:ascii="仿宋_GB2312"/>
                <w:sz w:val="24"/>
              </w:rPr>
            </w:pPr>
            <w:bookmarkStart w:id="59" w:name="OLE_LINK16"/>
            <w:r>
              <w:rPr>
                <w:rFonts w:hint="eastAsia" w:ascii="仿宋_GB2312"/>
                <w:sz w:val="24"/>
              </w:rPr>
              <w:t>谈判响应报价（元）</w:t>
            </w:r>
            <w:bookmarkEnd w:id="59"/>
          </w:p>
        </w:tc>
        <w:tc>
          <w:tcPr>
            <w:tcW w:w="3260" w:type="dxa"/>
            <w:tcBorders>
              <w:bottom w:val="single" w:color="auto" w:sz="4" w:space="0"/>
            </w:tcBorders>
            <w:vAlign w:val="center"/>
          </w:tcPr>
          <w:p w14:paraId="1BFB2ACA">
            <w:pPr>
              <w:spacing w:line="440" w:lineRule="atLeast"/>
              <w:jc w:val="center"/>
              <w:rPr>
                <w:rFonts w:ascii="仿宋_GB2312"/>
                <w:sz w:val="24"/>
              </w:rPr>
            </w:pPr>
            <w:bookmarkStart w:id="60" w:name="OLE_LINK17"/>
            <w:r>
              <w:rPr>
                <w:rFonts w:hint="eastAsia" w:ascii="仿宋_GB2312"/>
                <w:sz w:val="24"/>
              </w:rPr>
              <w:t>供货期</w:t>
            </w:r>
            <w:bookmarkEnd w:id="60"/>
          </w:p>
        </w:tc>
        <w:tc>
          <w:tcPr>
            <w:tcW w:w="1560" w:type="dxa"/>
            <w:tcBorders>
              <w:bottom w:val="single" w:color="auto" w:sz="4" w:space="0"/>
            </w:tcBorders>
            <w:vAlign w:val="center"/>
          </w:tcPr>
          <w:p w14:paraId="0DA543A1">
            <w:pPr>
              <w:spacing w:line="440" w:lineRule="atLeast"/>
              <w:jc w:val="center"/>
              <w:rPr>
                <w:rFonts w:ascii="仿宋_GB2312"/>
                <w:sz w:val="24"/>
              </w:rPr>
            </w:pPr>
            <w:bookmarkStart w:id="61" w:name="OLE_LINK18"/>
            <w:r>
              <w:rPr>
                <w:rFonts w:hint="eastAsia" w:ascii="仿宋_GB2312"/>
                <w:sz w:val="24"/>
              </w:rPr>
              <w:t>货物质量</w:t>
            </w:r>
            <w:bookmarkEnd w:id="61"/>
          </w:p>
        </w:tc>
        <w:tc>
          <w:tcPr>
            <w:tcW w:w="2976" w:type="dxa"/>
            <w:tcBorders>
              <w:bottom w:val="single" w:color="auto" w:sz="4" w:space="0"/>
            </w:tcBorders>
            <w:vAlign w:val="center"/>
          </w:tcPr>
          <w:p w14:paraId="18202C77">
            <w:pPr>
              <w:spacing w:line="440" w:lineRule="atLeast"/>
              <w:jc w:val="center"/>
              <w:rPr>
                <w:rFonts w:ascii="仿宋_GB2312"/>
                <w:sz w:val="24"/>
              </w:rPr>
            </w:pPr>
            <w:bookmarkStart w:id="62" w:name="OLE_LINK30"/>
            <w:r>
              <w:rPr>
                <w:rFonts w:hint="eastAsia" w:ascii="仿宋_GB2312"/>
                <w:sz w:val="24"/>
              </w:rPr>
              <w:t>其他承诺（选填）</w:t>
            </w:r>
            <w:bookmarkEnd w:id="62"/>
          </w:p>
        </w:tc>
      </w:tr>
      <w:tr w14:paraId="298F6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2864" w:type="dxa"/>
            <w:tcBorders>
              <w:bottom w:val="single" w:color="auto" w:sz="4" w:space="0"/>
            </w:tcBorders>
          </w:tcPr>
          <w:p w14:paraId="0597E9A0">
            <w:pPr>
              <w:spacing w:line="440" w:lineRule="atLeast"/>
              <w:rPr>
                <w:rFonts w:ascii="宋体"/>
                <w:sz w:val="24"/>
              </w:rPr>
            </w:pPr>
          </w:p>
        </w:tc>
        <w:tc>
          <w:tcPr>
            <w:tcW w:w="2835" w:type="dxa"/>
            <w:tcBorders>
              <w:bottom w:val="single" w:color="auto" w:sz="4" w:space="0"/>
            </w:tcBorders>
          </w:tcPr>
          <w:p w14:paraId="2FEA4E7B">
            <w:pPr>
              <w:spacing w:line="440" w:lineRule="atLeast"/>
              <w:rPr>
                <w:rFonts w:ascii="宋体"/>
                <w:sz w:val="24"/>
              </w:rPr>
            </w:pPr>
          </w:p>
        </w:tc>
        <w:tc>
          <w:tcPr>
            <w:tcW w:w="3260" w:type="dxa"/>
            <w:tcBorders>
              <w:bottom w:val="single" w:color="auto" w:sz="4" w:space="0"/>
            </w:tcBorders>
          </w:tcPr>
          <w:p w14:paraId="4AD196BB">
            <w:pPr>
              <w:spacing w:line="440" w:lineRule="atLeast"/>
              <w:rPr>
                <w:rFonts w:ascii="宋体"/>
                <w:sz w:val="24"/>
              </w:rPr>
            </w:pPr>
          </w:p>
        </w:tc>
        <w:tc>
          <w:tcPr>
            <w:tcW w:w="1560" w:type="dxa"/>
            <w:tcBorders>
              <w:bottom w:val="single" w:color="auto" w:sz="4" w:space="0"/>
            </w:tcBorders>
          </w:tcPr>
          <w:p w14:paraId="659059CD">
            <w:pPr>
              <w:spacing w:line="440" w:lineRule="atLeast"/>
              <w:rPr>
                <w:rFonts w:ascii="宋体"/>
                <w:sz w:val="24"/>
              </w:rPr>
            </w:pPr>
          </w:p>
        </w:tc>
        <w:tc>
          <w:tcPr>
            <w:tcW w:w="2976" w:type="dxa"/>
            <w:tcBorders>
              <w:bottom w:val="single" w:color="auto" w:sz="4" w:space="0"/>
            </w:tcBorders>
          </w:tcPr>
          <w:p w14:paraId="6DD1ED74">
            <w:pPr>
              <w:spacing w:line="440" w:lineRule="atLeast"/>
              <w:rPr>
                <w:rFonts w:ascii="宋体"/>
                <w:sz w:val="24"/>
              </w:rPr>
            </w:pPr>
            <w:r>
              <w:rPr>
                <w:rFonts w:hint="eastAsia" w:ascii="宋体"/>
                <w:sz w:val="24"/>
              </w:rPr>
              <w:t xml:space="preserve"> </w:t>
            </w:r>
          </w:p>
        </w:tc>
      </w:tr>
    </w:tbl>
    <w:p w14:paraId="7EA725B8">
      <w:pPr>
        <w:spacing w:line="440" w:lineRule="atLeast"/>
        <w:ind w:left="720" w:hanging="720" w:hangingChars="300"/>
        <w:rPr>
          <w:rFonts w:ascii="仿宋_GB2312"/>
          <w:sz w:val="24"/>
        </w:rPr>
      </w:pPr>
    </w:p>
    <w:p w14:paraId="6D5EF0C9">
      <w:pPr>
        <w:spacing w:line="440" w:lineRule="atLeast"/>
        <w:ind w:firstLine="482" w:firstLineChars="200"/>
        <w:rPr>
          <w:rFonts w:ascii="仿宋_GB2312"/>
          <w:b/>
          <w:sz w:val="24"/>
        </w:rPr>
      </w:pPr>
      <w:r>
        <w:rPr>
          <w:rFonts w:hint="eastAsia" w:ascii="仿宋_GB2312"/>
          <w:b/>
          <w:sz w:val="24"/>
        </w:rPr>
        <w:t>注：1、本表无需在谈判响应文件中，只做谈判的最终报价使用，在“政采云”谈判的最终环节单独提交。</w:t>
      </w:r>
    </w:p>
    <w:p w14:paraId="6E48536A">
      <w:pPr>
        <w:spacing w:line="440" w:lineRule="atLeast"/>
        <w:ind w:firstLine="964" w:firstLineChars="400"/>
        <w:rPr>
          <w:rFonts w:ascii="仿宋_GB2312"/>
          <w:b/>
          <w:sz w:val="24"/>
        </w:rPr>
      </w:pPr>
      <w:r>
        <w:rPr>
          <w:rFonts w:hint="eastAsia" w:ascii="仿宋_GB2312"/>
          <w:b/>
          <w:sz w:val="24"/>
        </w:rPr>
        <w:t>2、谈判报价为谈判内容的报价总和。</w:t>
      </w:r>
    </w:p>
    <w:p w14:paraId="67B50836">
      <w:pPr>
        <w:spacing w:line="440" w:lineRule="atLeast"/>
        <w:ind w:firstLine="964" w:firstLineChars="400"/>
        <w:rPr>
          <w:rFonts w:ascii="仿宋_GB2312"/>
          <w:b/>
          <w:sz w:val="24"/>
        </w:rPr>
      </w:pPr>
      <w:r>
        <w:rPr>
          <w:rFonts w:hint="eastAsia" w:ascii="仿宋_GB2312"/>
          <w:b/>
          <w:sz w:val="24"/>
        </w:rPr>
        <w:t>3.未按要求在发起时间内提交响应谈判最终报价的视为响应谈判无效。</w:t>
      </w:r>
    </w:p>
    <w:p w14:paraId="2708DF74">
      <w:pPr>
        <w:spacing w:line="440" w:lineRule="atLeast"/>
        <w:ind w:firstLine="964" w:firstLineChars="400"/>
        <w:rPr>
          <w:rFonts w:ascii="仿宋_GB2312"/>
          <w:sz w:val="24"/>
        </w:rPr>
      </w:pPr>
      <w:r>
        <w:rPr>
          <w:rFonts w:ascii="仿宋_GB2312"/>
          <w:b/>
          <w:sz w:val="24"/>
        </w:rPr>
        <w:t>4.</w:t>
      </w:r>
      <w:r>
        <w:rPr>
          <w:rFonts w:hint="eastAsia" w:ascii="仿宋_GB2312"/>
          <w:b/>
          <w:sz w:val="24"/>
        </w:rPr>
        <w:t>在“政采云”平台</w:t>
      </w:r>
      <w:r>
        <w:rPr>
          <w:rFonts w:ascii="仿宋_GB2312"/>
          <w:b/>
          <w:sz w:val="24"/>
        </w:rPr>
        <w:t>填写最终报价</w:t>
      </w:r>
      <w:r>
        <w:rPr>
          <w:rFonts w:hint="eastAsia" w:ascii="仿宋_GB2312"/>
          <w:b/>
          <w:sz w:val="24"/>
        </w:rPr>
        <w:t>表时，</w:t>
      </w:r>
      <w:r>
        <w:rPr>
          <w:rFonts w:ascii="仿宋_GB2312"/>
          <w:b/>
          <w:sz w:val="24"/>
        </w:rPr>
        <w:t>须</w:t>
      </w:r>
      <w:r>
        <w:rPr>
          <w:rFonts w:hint="eastAsia" w:ascii="仿宋_GB2312"/>
          <w:b/>
          <w:sz w:val="24"/>
        </w:rPr>
        <w:t>同时</w:t>
      </w:r>
      <w:r>
        <w:rPr>
          <w:rFonts w:ascii="仿宋_GB2312"/>
          <w:b/>
          <w:sz w:val="24"/>
        </w:rPr>
        <w:t>上传</w:t>
      </w:r>
      <w:r>
        <w:rPr>
          <w:rFonts w:hint="eastAsia" w:ascii="仿宋_GB2312"/>
          <w:b/>
          <w:sz w:val="24"/>
        </w:rPr>
        <w:t>与</w:t>
      </w:r>
      <w:r>
        <w:rPr>
          <w:rFonts w:ascii="仿宋_GB2312"/>
          <w:b/>
          <w:sz w:val="24"/>
        </w:rPr>
        <w:t>最终报价相符的</w:t>
      </w:r>
      <w:r>
        <w:rPr>
          <w:rFonts w:hint="eastAsia" w:ascii="仿宋_GB2312"/>
          <w:b/>
          <w:sz w:val="24"/>
        </w:rPr>
        <w:t>《最终响应报价明细表》，否则</w:t>
      </w:r>
      <w:r>
        <w:rPr>
          <w:rFonts w:ascii="仿宋_GB2312"/>
          <w:b/>
          <w:sz w:val="24"/>
        </w:rPr>
        <w:t>视为</w:t>
      </w:r>
      <w:r>
        <w:rPr>
          <w:rFonts w:hint="eastAsia" w:ascii="仿宋_GB2312"/>
          <w:b/>
          <w:sz w:val="24"/>
        </w:rPr>
        <w:t>响应</w:t>
      </w:r>
      <w:r>
        <w:rPr>
          <w:rFonts w:ascii="仿宋_GB2312"/>
          <w:b/>
          <w:sz w:val="24"/>
        </w:rPr>
        <w:t>无效</w:t>
      </w:r>
      <w:r>
        <w:rPr>
          <w:rFonts w:hint="eastAsia" w:ascii="仿宋_GB2312"/>
          <w:sz w:val="24"/>
        </w:rPr>
        <w:t>。</w:t>
      </w:r>
    </w:p>
    <w:p w14:paraId="1A7124D5">
      <w:pPr>
        <w:spacing w:line="440" w:lineRule="atLeast"/>
        <w:rPr>
          <w:rFonts w:ascii="仿宋_GB2312"/>
          <w:sz w:val="24"/>
        </w:rPr>
      </w:pPr>
    </w:p>
    <w:p w14:paraId="019EC1FF">
      <w:pPr>
        <w:spacing w:line="440" w:lineRule="atLeast"/>
        <w:rPr>
          <w:rFonts w:ascii="仿宋_GB2312"/>
          <w:sz w:val="24"/>
        </w:rPr>
      </w:pPr>
      <w:r>
        <w:rPr>
          <w:rFonts w:hint="eastAsia" w:ascii="仿宋_GB2312"/>
          <w:sz w:val="24"/>
        </w:rPr>
        <w:t xml:space="preserve">响应谈判供应商：（盖公章）                              </w:t>
      </w:r>
    </w:p>
    <w:p w14:paraId="4284F31B">
      <w:pPr>
        <w:spacing w:line="440" w:lineRule="atLeast"/>
        <w:rPr>
          <w:rFonts w:ascii="仿宋_GB2312"/>
          <w:sz w:val="24"/>
        </w:rPr>
      </w:pPr>
      <w:r>
        <w:rPr>
          <w:rFonts w:hint="eastAsia" w:ascii="仿宋_GB2312"/>
          <w:sz w:val="24"/>
        </w:rPr>
        <w:t>法定代表人或被授权委托人：（签字或</w:t>
      </w:r>
      <w:r>
        <w:rPr>
          <w:rFonts w:ascii="仿宋_GB2312"/>
          <w:sz w:val="24"/>
        </w:rPr>
        <w:t>盖章</w:t>
      </w:r>
      <w:r>
        <w:rPr>
          <w:rFonts w:hint="eastAsia" w:ascii="仿宋_GB2312"/>
          <w:sz w:val="24"/>
        </w:rPr>
        <w:t>）</w:t>
      </w:r>
    </w:p>
    <w:p w14:paraId="016F37BE">
      <w:pPr>
        <w:spacing w:line="440" w:lineRule="atLeast"/>
        <w:jc w:val="left"/>
        <w:rPr>
          <w:sz w:val="24"/>
        </w:rPr>
      </w:pPr>
      <w:r>
        <w:rPr>
          <w:rFonts w:hint="eastAsia"/>
          <w:sz w:val="24"/>
        </w:rPr>
        <w:t>日期：   年   月    日</w:t>
      </w:r>
    </w:p>
    <w:p w14:paraId="22BA264D">
      <w:pPr>
        <w:spacing w:line="440" w:lineRule="atLeast"/>
        <w:rPr>
          <w:rFonts w:ascii="仿宋_GB2312"/>
          <w:sz w:val="24"/>
        </w:rPr>
      </w:pPr>
    </w:p>
    <w:p w14:paraId="5A5C2D3E">
      <w:pPr>
        <w:widowControl/>
        <w:jc w:val="left"/>
        <w:rPr>
          <w:rFonts w:ascii="宋体"/>
          <w:sz w:val="28"/>
        </w:rPr>
      </w:pPr>
      <w:r>
        <w:rPr>
          <w:rFonts w:ascii="仿宋_GB2312"/>
          <w:sz w:val="24"/>
        </w:rPr>
        <w:br w:type="page"/>
      </w:r>
      <w:r>
        <w:rPr>
          <w:rFonts w:hint="eastAsia" w:ascii="宋体"/>
          <w:sz w:val="24"/>
        </w:rPr>
        <w:t xml:space="preserve">                        </w:t>
      </w:r>
    </w:p>
    <w:p w14:paraId="1D407DA1">
      <w:pPr>
        <w:spacing w:line="440" w:lineRule="atLeast"/>
        <w:jc w:val="center"/>
        <w:rPr>
          <w:rFonts w:ascii="仿宋_GB2312"/>
          <w:b/>
          <w:sz w:val="28"/>
        </w:rPr>
      </w:pPr>
      <w:r>
        <w:rPr>
          <w:rFonts w:hint="eastAsia" w:ascii="仿宋_GB2312"/>
          <w:b/>
          <w:sz w:val="28"/>
        </w:rPr>
        <w:t>六、最终</w:t>
      </w:r>
      <w:bookmarkStart w:id="63" w:name="_Hlk183503242"/>
      <w:r>
        <w:rPr>
          <w:rFonts w:hint="eastAsia" w:ascii="仿宋_GB2312"/>
          <w:b/>
          <w:sz w:val="28"/>
        </w:rPr>
        <w:t>响应</w:t>
      </w:r>
      <w:bookmarkEnd w:id="63"/>
      <w:r>
        <w:rPr>
          <w:rFonts w:hint="eastAsia" w:ascii="仿宋_GB2312"/>
          <w:b/>
          <w:sz w:val="28"/>
        </w:rPr>
        <w:t>报价明细表</w:t>
      </w:r>
    </w:p>
    <w:p w14:paraId="4E203A0B">
      <w:pPr>
        <w:spacing w:line="360" w:lineRule="auto"/>
        <w:ind w:left="1"/>
        <w:jc w:val="left"/>
        <w:rPr>
          <w:rFonts w:ascii="宋体" w:hAnsi="宋体"/>
          <w:sz w:val="24"/>
        </w:rPr>
      </w:pPr>
    </w:p>
    <w:p w14:paraId="455F8672">
      <w:pPr>
        <w:spacing w:line="440" w:lineRule="atLeast"/>
        <w:jc w:val="left"/>
        <w:rPr>
          <w:bCs/>
          <w:sz w:val="24"/>
        </w:rPr>
      </w:pPr>
      <w:r>
        <w:rPr>
          <w:rFonts w:hint="eastAsia"/>
          <w:bCs/>
          <w:sz w:val="24"/>
        </w:rPr>
        <w:t>项目名称：</w:t>
      </w:r>
      <w:r>
        <w:rPr>
          <w:bCs/>
          <w:sz w:val="24"/>
        </w:rPr>
        <w:t xml:space="preserve">                                                                                            </w:t>
      </w:r>
      <w:r>
        <w:rPr>
          <w:rFonts w:hint="eastAsia"/>
          <w:bCs/>
          <w:sz w:val="24"/>
        </w:rPr>
        <w:t>单位：元</w:t>
      </w:r>
    </w:p>
    <w:tbl>
      <w:tblPr>
        <w:tblStyle w:val="41"/>
        <w:tblW w:w="14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82"/>
        <w:gridCol w:w="1277"/>
        <w:gridCol w:w="1277"/>
        <w:gridCol w:w="1276"/>
        <w:gridCol w:w="2411"/>
        <w:gridCol w:w="780"/>
        <w:gridCol w:w="1206"/>
        <w:gridCol w:w="993"/>
        <w:gridCol w:w="1276"/>
        <w:gridCol w:w="1193"/>
      </w:tblGrid>
      <w:tr w14:paraId="0577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7CB5A411">
            <w:pPr>
              <w:spacing w:line="440" w:lineRule="atLeast"/>
              <w:jc w:val="center"/>
              <w:rPr>
                <w:bCs/>
                <w:sz w:val="24"/>
              </w:rPr>
            </w:pPr>
            <w:r>
              <w:rPr>
                <w:rFonts w:hint="eastAsia"/>
                <w:bCs/>
                <w:sz w:val="24"/>
              </w:rPr>
              <w:t>序号</w:t>
            </w:r>
          </w:p>
        </w:tc>
        <w:tc>
          <w:tcPr>
            <w:tcW w:w="2481" w:type="dxa"/>
            <w:tcBorders>
              <w:top w:val="single" w:color="auto" w:sz="4" w:space="0"/>
              <w:left w:val="single" w:color="auto" w:sz="4" w:space="0"/>
              <w:bottom w:val="single" w:color="auto" w:sz="4" w:space="0"/>
              <w:right w:val="single" w:color="auto" w:sz="4" w:space="0"/>
            </w:tcBorders>
            <w:vAlign w:val="center"/>
          </w:tcPr>
          <w:p w14:paraId="5F642C84">
            <w:pPr>
              <w:spacing w:line="440" w:lineRule="atLeast"/>
              <w:jc w:val="center"/>
              <w:rPr>
                <w:bCs/>
                <w:sz w:val="24"/>
              </w:rPr>
            </w:pPr>
            <w:r>
              <w:rPr>
                <w:rFonts w:hint="eastAsia"/>
                <w:bCs/>
                <w:sz w:val="24"/>
              </w:rPr>
              <w:t>采购货物名称</w:t>
            </w:r>
          </w:p>
        </w:tc>
        <w:tc>
          <w:tcPr>
            <w:tcW w:w="1276" w:type="dxa"/>
            <w:tcBorders>
              <w:top w:val="single" w:color="auto" w:sz="4" w:space="0"/>
              <w:left w:val="single" w:color="auto" w:sz="4" w:space="0"/>
              <w:bottom w:val="single" w:color="auto" w:sz="4" w:space="0"/>
              <w:right w:val="single" w:color="auto" w:sz="4" w:space="0"/>
            </w:tcBorders>
            <w:vAlign w:val="center"/>
          </w:tcPr>
          <w:p w14:paraId="210CA609">
            <w:pPr>
              <w:spacing w:line="440" w:lineRule="atLeast"/>
              <w:jc w:val="center"/>
              <w:rPr>
                <w:bCs/>
                <w:sz w:val="24"/>
              </w:rPr>
            </w:pPr>
            <w:r>
              <w:rPr>
                <w:rFonts w:hint="eastAsia"/>
                <w:bCs/>
                <w:sz w:val="24"/>
              </w:rPr>
              <w:t>产地</w:t>
            </w:r>
          </w:p>
        </w:tc>
        <w:tc>
          <w:tcPr>
            <w:tcW w:w="1276" w:type="dxa"/>
            <w:tcBorders>
              <w:top w:val="single" w:color="auto" w:sz="4" w:space="0"/>
              <w:left w:val="single" w:color="auto" w:sz="4" w:space="0"/>
              <w:bottom w:val="single" w:color="auto" w:sz="4" w:space="0"/>
              <w:right w:val="single" w:color="auto" w:sz="4" w:space="0"/>
            </w:tcBorders>
            <w:vAlign w:val="center"/>
          </w:tcPr>
          <w:p w14:paraId="7D4A7830">
            <w:pPr>
              <w:spacing w:line="440" w:lineRule="atLeast"/>
              <w:jc w:val="center"/>
              <w:rPr>
                <w:bCs/>
                <w:sz w:val="24"/>
              </w:rPr>
            </w:pPr>
            <w:r>
              <w:rPr>
                <w:rFonts w:hint="eastAsia"/>
                <w:bCs/>
                <w:sz w:val="24"/>
              </w:rPr>
              <w:t>响应谈判货物品牌</w:t>
            </w:r>
          </w:p>
        </w:tc>
        <w:tc>
          <w:tcPr>
            <w:tcW w:w="1275" w:type="dxa"/>
            <w:tcBorders>
              <w:top w:val="single" w:color="auto" w:sz="4" w:space="0"/>
              <w:left w:val="single" w:color="auto" w:sz="4" w:space="0"/>
              <w:bottom w:val="single" w:color="auto" w:sz="4" w:space="0"/>
              <w:right w:val="single" w:color="auto" w:sz="4" w:space="0"/>
            </w:tcBorders>
            <w:vAlign w:val="center"/>
          </w:tcPr>
          <w:p w14:paraId="2CF1D03C">
            <w:pPr>
              <w:spacing w:line="440" w:lineRule="atLeast"/>
              <w:jc w:val="center"/>
              <w:rPr>
                <w:bCs/>
                <w:sz w:val="24"/>
              </w:rPr>
            </w:pPr>
            <w:r>
              <w:rPr>
                <w:rFonts w:hint="eastAsia"/>
                <w:bCs/>
                <w:sz w:val="24"/>
              </w:rPr>
              <w:t>响应谈判货物型号</w:t>
            </w:r>
          </w:p>
        </w:tc>
        <w:tc>
          <w:tcPr>
            <w:tcW w:w="2410" w:type="dxa"/>
            <w:tcBorders>
              <w:top w:val="single" w:color="auto" w:sz="4" w:space="0"/>
              <w:left w:val="single" w:color="auto" w:sz="4" w:space="0"/>
              <w:bottom w:val="single" w:color="auto" w:sz="4" w:space="0"/>
              <w:right w:val="single" w:color="auto" w:sz="4" w:space="0"/>
            </w:tcBorders>
            <w:vAlign w:val="center"/>
          </w:tcPr>
          <w:p w14:paraId="53CE5EF1">
            <w:pPr>
              <w:spacing w:line="440" w:lineRule="atLeast"/>
              <w:jc w:val="center"/>
              <w:rPr>
                <w:bCs/>
                <w:sz w:val="24"/>
              </w:rPr>
            </w:pPr>
            <w:r>
              <w:rPr>
                <w:rFonts w:hint="eastAsia"/>
                <w:bCs/>
                <w:sz w:val="24"/>
              </w:rPr>
              <w:t>响应谈判货物技术参数</w:t>
            </w:r>
          </w:p>
        </w:tc>
        <w:tc>
          <w:tcPr>
            <w:tcW w:w="780" w:type="dxa"/>
            <w:tcBorders>
              <w:top w:val="single" w:color="auto" w:sz="4" w:space="0"/>
              <w:left w:val="single" w:color="auto" w:sz="4" w:space="0"/>
              <w:bottom w:val="single" w:color="auto" w:sz="4" w:space="0"/>
              <w:right w:val="single" w:color="auto" w:sz="4" w:space="0"/>
            </w:tcBorders>
            <w:vAlign w:val="center"/>
          </w:tcPr>
          <w:p w14:paraId="2F1D38E4">
            <w:pPr>
              <w:spacing w:line="440" w:lineRule="atLeast"/>
              <w:jc w:val="center"/>
              <w:rPr>
                <w:bCs/>
                <w:sz w:val="24"/>
              </w:rPr>
            </w:pPr>
            <w:r>
              <w:rPr>
                <w:rFonts w:hint="eastAsia"/>
                <w:bCs/>
                <w:sz w:val="24"/>
              </w:rPr>
              <w:t>单位</w:t>
            </w:r>
          </w:p>
        </w:tc>
        <w:tc>
          <w:tcPr>
            <w:tcW w:w="1205" w:type="dxa"/>
            <w:tcBorders>
              <w:top w:val="single" w:color="auto" w:sz="4" w:space="0"/>
              <w:left w:val="single" w:color="auto" w:sz="4" w:space="0"/>
              <w:bottom w:val="single" w:color="auto" w:sz="4" w:space="0"/>
              <w:right w:val="single" w:color="auto" w:sz="4" w:space="0"/>
            </w:tcBorders>
            <w:vAlign w:val="center"/>
          </w:tcPr>
          <w:p w14:paraId="0F1C478A">
            <w:pPr>
              <w:spacing w:line="440" w:lineRule="atLeast"/>
              <w:jc w:val="center"/>
              <w:rPr>
                <w:bCs/>
                <w:sz w:val="24"/>
              </w:rPr>
            </w:pPr>
            <w:r>
              <w:rPr>
                <w:rFonts w:hint="eastAsia"/>
                <w:bCs/>
                <w:sz w:val="24"/>
              </w:rPr>
              <w:t>预算单价</w:t>
            </w:r>
          </w:p>
        </w:tc>
        <w:tc>
          <w:tcPr>
            <w:tcW w:w="993" w:type="dxa"/>
            <w:tcBorders>
              <w:top w:val="single" w:color="auto" w:sz="4" w:space="0"/>
              <w:left w:val="single" w:color="auto" w:sz="4" w:space="0"/>
              <w:bottom w:val="single" w:color="auto" w:sz="4" w:space="0"/>
              <w:right w:val="single" w:color="auto" w:sz="4" w:space="0"/>
            </w:tcBorders>
            <w:vAlign w:val="center"/>
          </w:tcPr>
          <w:p w14:paraId="4AF14243">
            <w:pPr>
              <w:spacing w:line="440" w:lineRule="atLeast"/>
              <w:jc w:val="center"/>
              <w:rPr>
                <w:bCs/>
                <w:sz w:val="24"/>
              </w:rPr>
            </w:pPr>
            <w:r>
              <w:rPr>
                <w:rFonts w:hint="eastAsia"/>
                <w:bCs/>
                <w:sz w:val="24"/>
              </w:rPr>
              <w:t>数量</w:t>
            </w:r>
          </w:p>
        </w:tc>
        <w:tc>
          <w:tcPr>
            <w:tcW w:w="1275" w:type="dxa"/>
            <w:tcBorders>
              <w:top w:val="single" w:color="auto" w:sz="4" w:space="0"/>
              <w:left w:val="single" w:color="auto" w:sz="4" w:space="0"/>
              <w:bottom w:val="single" w:color="auto" w:sz="4" w:space="0"/>
              <w:right w:val="single" w:color="auto" w:sz="4" w:space="0"/>
            </w:tcBorders>
            <w:vAlign w:val="center"/>
          </w:tcPr>
          <w:p w14:paraId="2487E8F8">
            <w:pPr>
              <w:spacing w:line="440" w:lineRule="atLeast"/>
              <w:jc w:val="center"/>
              <w:rPr>
                <w:bCs/>
                <w:sz w:val="24"/>
              </w:rPr>
            </w:pPr>
            <w:r>
              <w:rPr>
                <w:rFonts w:hint="eastAsia"/>
                <w:bCs/>
                <w:sz w:val="24"/>
              </w:rPr>
              <w:t>响应单价</w:t>
            </w:r>
          </w:p>
        </w:tc>
        <w:tc>
          <w:tcPr>
            <w:tcW w:w="1192" w:type="dxa"/>
            <w:tcBorders>
              <w:top w:val="single" w:color="auto" w:sz="4" w:space="0"/>
              <w:left w:val="single" w:color="auto" w:sz="4" w:space="0"/>
              <w:bottom w:val="single" w:color="auto" w:sz="4" w:space="0"/>
              <w:right w:val="single" w:color="auto" w:sz="4" w:space="0"/>
            </w:tcBorders>
            <w:vAlign w:val="center"/>
          </w:tcPr>
          <w:p w14:paraId="0D0149C3">
            <w:pPr>
              <w:spacing w:line="440" w:lineRule="atLeast"/>
              <w:jc w:val="center"/>
              <w:rPr>
                <w:bCs/>
                <w:sz w:val="24"/>
              </w:rPr>
            </w:pPr>
            <w:r>
              <w:rPr>
                <w:rFonts w:hint="eastAsia"/>
                <w:bCs/>
                <w:sz w:val="24"/>
              </w:rPr>
              <w:t>响应总价</w:t>
            </w:r>
          </w:p>
        </w:tc>
      </w:tr>
      <w:tr w14:paraId="7618D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553F9FB2">
            <w:pPr>
              <w:spacing w:line="440" w:lineRule="atLeast"/>
              <w:jc w:val="center"/>
              <w:rPr>
                <w:bCs/>
                <w:sz w:val="24"/>
              </w:rPr>
            </w:pPr>
            <w:r>
              <w:rPr>
                <w:bCs/>
                <w:sz w:val="24"/>
              </w:rPr>
              <w:t>1</w:t>
            </w:r>
          </w:p>
        </w:tc>
        <w:tc>
          <w:tcPr>
            <w:tcW w:w="2481" w:type="dxa"/>
            <w:tcBorders>
              <w:top w:val="single" w:color="auto" w:sz="4" w:space="0"/>
              <w:left w:val="single" w:color="auto" w:sz="4" w:space="0"/>
              <w:bottom w:val="single" w:color="auto" w:sz="4" w:space="0"/>
              <w:right w:val="single" w:color="auto" w:sz="4" w:space="0"/>
            </w:tcBorders>
            <w:vAlign w:val="center"/>
          </w:tcPr>
          <w:p w14:paraId="04DE5964">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6118101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32F30FA">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7476DE1A">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0F33923F">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487E25AC">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2A780676">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99CA193">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68EF73E5">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453DFCD2">
            <w:pPr>
              <w:spacing w:line="440" w:lineRule="atLeast"/>
              <w:jc w:val="center"/>
              <w:rPr>
                <w:bCs/>
                <w:sz w:val="24"/>
              </w:rPr>
            </w:pPr>
          </w:p>
        </w:tc>
      </w:tr>
      <w:tr w14:paraId="245FA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32BB0D69">
            <w:pPr>
              <w:spacing w:line="440" w:lineRule="atLeast"/>
              <w:jc w:val="center"/>
              <w:rPr>
                <w:bCs/>
                <w:sz w:val="24"/>
              </w:rPr>
            </w:pPr>
            <w:r>
              <w:rPr>
                <w:bCs/>
                <w:sz w:val="24"/>
              </w:rPr>
              <w:t>2</w:t>
            </w:r>
          </w:p>
        </w:tc>
        <w:tc>
          <w:tcPr>
            <w:tcW w:w="2481" w:type="dxa"/>
            <w:tcBorders>
              <w:top w:val="single" w:color="auto" w:sz="4" w:space="0"/>
              <w:left w:val="single" w:color="auto" w:sz="4" w:space="0"/>
              <w:bottom w:val="single" w:color="auto" w:sz="4" w:space="0"/>
              <w:right w:val="single" w:color="auto" w:sz="4" w:space="0"/>
            </w:tcBorders>
            <w:vAlign w:val="center"/>
          </w:tcPr>
          <w:p w14:paraId="4CFE5307">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3C4243C">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6AEF2D5">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20A69179">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31279C5C">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57A64140">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20220733">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47AE5ED">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09D389FF">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1361A766">
            <w:pPr>
              <w:spacing w:line="440" w:lineRule="atLeast"/>
              <w:jc w:val="center"/>
              <w:rPr>
                <w:bCs/>
                <w:sz w:val="24"/>
              </w:rPr>
            </w:pPr>
          </w:p>
        </w:tc>
      </w:tr>
      <w:tr w14:paraId="1F381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051DD8E9">
            <w:pPr>
              <w:spacing w:line="440" w:lineRule="atLeast"/>
              <w:jc w:val="center"/>
              <w:rPr>
                <w:bCs/>
                <w:sz w:val="24"/>
              </w:rPr>
            </w:pPr>
            <w:r>
              <w:rPr>
                <w:bCs/>
                <w:sz w:val="24"/>
              </w:rPr>
              <w:t>3</w:t>
            </w:r>
          </w:p>
        </w:tc>
        <w:tc>
          <w:tcPr>
            <w:tcW w:w="2481" w:type="dxa"/>
            <w:tcBorders>
              <w:top w:val="single" w:color="auto" w:sz="4" w:space="0"/>
              <w:left w:val="single" w:color="auto" w:sz="4" w:space="0"/>
              <w:bottom w:val="single" w:color="auto" w:sz="4" w:space="0"/>
              <w:right w:val="single" w:color="auto" w:sz="4" w:space="0"/>
            </w:tcBorders>
            <w:vAlign w:val="center"/>
          </w:tcPr>
          <w:p w14:paraId="65170A48">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3FF2495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CF5737D">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7F5C622A">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62EEAB5">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20EEE890">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085CA8BE">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65C23EFD">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67F75210">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16142E12">
            <w:pPr>
              <w:spacing w:line="440" w:lineRule="atLeast"/>
              <w:jc w:val="center"/>
              <w:rPr>
                <w:bCs/>
                <w:sz w:val="24"/>
              </w:rPr>
            </w:pPr>
          </w:p>
        </w:tc>
      </w:tr>
      <w:tr w14:paraId="17EA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46F672DB">
            <w:pPr>
              <w:spacing w:line="440" w:lineRule="atLeast"/>
              <w:jc w:val="center"/>
              <w:rPr>
                <w:bCs/>
                <w:sz w:val="24"/>
              </w:rPr>
            </w:pPr>
            <w:r>
              <w:rPr>
                <w:rFonts w:hint="eastAsia"/>
                <w:bCs/>
                <w:sz w:val="24"/>
              </w:rPr>
              <w:t>…</w:t>
            </w:r>
          </w:p>
        </w:tc>
        <w:tc>
          <w:tcPr>
            <w:tcW w:w="2481" w:type="dxa"/>
            <w:tcBorders>
              <w:top w:val="single" w:color="auto" w:sz="4" w:space="0"/>
              <w:left w:val="single" w:color="auto" w:sz="4" w:space="0"/>
              <w:bottom w:val="single" w:color="auto" w:sz="4" w:space="0"/>
              <w:right w:val="single" w:color="auto" w:sz="4" w:space="0"/>
            </w:tcBorders>
            <w:vAlign w:val="center"/>
          </w:tcPr>
          <w:p w14:paraId="77A12667">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C4B3E5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6DA48D36">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5CCA5491">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591B1391">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7ECA9A28">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3D88F3BB">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9FB28DF">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435BC7FB">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3313C146">
            <w:pPr>
              <w:spacing w:line="440" w:lineRule="atLeast"/>
              <w:jc w:val="center"/>
              <w:rPr>
                <w:bCs/>
                <w:sz w:val="24"/>
              </w:rPr>
            </w:pPr>
          </w:p>
        </w:tc>
      </w:tr>
      <w:tr w14:paraId="57FDB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3206" w:type="dxa"/>
            <w:gridSpan w:val="2"/>
            <w:tcBorders>
              <w:top w:val="single" w:color="auto" w:sz="4" w:space="0"/>
              <w:left w:val="single" w:color="auto" w:sz="4" w:space="0"/>
              <w:bottom w:val="single" w:color="auto" w:sz="4" w:space="0"/>
              <w:right w:val="single" w:color="auto" w:sz="4" w:space="0"/>
            </w:tcBorders>
            <w:vAlign w:val="center"/>
          </w:tcPr>
          <w:p w14:paraId="18502EAE">
            <w:pPr>
              <w:spacing w:line="440" w:lineRule="atLeast"/>
              <w:jc w:val="center"/>
              <w:rPr>
                <w:bCs/>
                <w:sz w:val="24"/>
              </w:rPr>
            </w:pPr>
            <w:r>
              <w:rPr>
                <w:rFonts w:hint="eastAsia"/>
                <w:bCs/>
                <w:sz w:val="24"/>
              </w:rPr>
              <w:t>合计报价：</w:t>
            </w:r>
          </w:p>
        </w:tc>
        <w:tc>
          <w:tcPr>
            <w:tcW w:w="11682" w:type="dxa"/>
            <w:gridSpan w:val="9"/>
            <w:tcBorders>
              <w:top w:val="single" w:color="auto" w:sz="4" w:space="0"/>
              <w:left w:val="single" w:color="auto" w:sz="4" w:space="0"/>
              <w:bottom w:val="single" w:color="auto" w:sz="4" w:space="0"/>
              <w:right w:val="single" w:color="auto" w:sz="4" w:space="0"/>
            </w:tcBorders>
            <w:vAlign w:val="center"/>
          </w:tcPr>
          <w:p w14:paraId="571B93B0">
            <w:pPr>
              <w:spacing w:line="440" w:lineRule="atLeast"/>
              <w:jc w:val="center"/>
              <w:rPr>
                <w:bCs/>
                <w:sz w:val="24"/>
              </w:rPr>
            </w:pPr>
          </w:p>
        </w:tc>
      </w:tr>
    </w:tbl>
    <w:p w14:paraId="3B385F7F">
      <w:pPr>
        <w:spacing w:line="440" w:lineRule="atLeast"/>
        <w:rPr>
          <w:rFonts w:ascii="仿宋_GB2312"/>
          <w:b/>
          <w:bCs/>
          <w:sz w:val="24"/>
          <w:szCs w:val="20"/>
        </w:rPr>
      </w:pPr>
      <w:r>
        <w:rPr>
          <w:rFonts w:hint="eastAsia" w:ascii="仿宋_GB2312"/>
          <w:b/>
          <w:bCs/>
          <w:sz w:val="24"/>
          <w:szCs w:val="20"/>
        </w:rPr>
        <w:t>注</w:t>
      </w:r>
      <w:r>
        <w:rPr>
          <w:rFonts w:ascii="仿宋_GB2312"/>
          <w:b/>
          <w:bCs/>
          <w:sz w:val="24"/>
          <w:szCs w:val="20"/>
        </w:rPr>
        <w:t>：</w:t>
      </w:r>
      <w:r>
        <w:rPr>
          <w:rFonts w:hint="eastAsia" w:ascii="仿宋_GB2312"/>
          <w:b/>
          <w:bCs/>
          <w:sz w:val="24"/>
          <w:szCs w:val="20"/>
        </w:rPr>
        <w:t>须在</w:t>
      </w:r>
      <w:r>
        <w:rPr>
          <w:rFonts w:ascii="仿宋_GB2312"/>
          <w:b/>
          <w:bCs/>
          <w:sz w:val="24"/>
          <w:szCs w:val="20"/>
        </w:rPr>
        <w:t>“</w:t>
      </w:r>
      <w:r>
        <w:rPr>
          <w:rFonts w:hint="eastAsia" w:ascii="仿宋_GB2312"/>
          <w:b/>
          <w:bCs/>
          <w:sz w:val="24"/>
          <w:szCs w:val="20"/>
        </w:rPr>
        <w:t>政采云</w:t>
      </w:r>
      <w:r>
        <w:rPr>
          <w:rFonts w:ascii="仿宋_GB2312"/>
          <w:b/>
          <w:bCs/>
          <w:sz w:val="24"/>
          <w:szCs w:val="20"/>
        </w:rPr>
        <w:t>”</w:t>
      </w:r>
      <w:r>
        <w:rPr>
          <w:rFonts w:hint="eastAsia" w:ascii="仿宋_GB2312"/>
          <w:b/>
          <w:bCs/>
          <w:sz w:val="24"/>
          <w:szCs w:val="20"/>
        </w:rPr>
        <w:t>平台最终</w:t>
      </w:r>
      <w:r>
        <w:rPr>
          <w:rFonts w:ascii="仿宋_GB2312"/>
          <w:b/>
          <w:bCs/>
          <w:sz w:val="24"/>
          <w:szCs w:val="20"/>
        </w:rPr>
        <w:t>报价</w:t>
      </w:r>
      <w:r>
        <w:rPr>
          <w:rFonts w:hint="eastAsia" w:ascii="仿宋_GB2312"/>
          <w:b/>
          <w:bCs/>
          <w:sz w:val="24"/>
          <w:szCs w:val="20"/>
        </w:rPr>
        <w:t>时段</w:t>
      </w:r>
      <w:r>
        <w:rPr>
          <w:rFonts w:ascii="仿宋_GB2312"/>
          <w:b/>
          <w:bCs/>
          <w:sz w:val="24"/>
          <w:szCs w:val="20"/>
        </w:rPr>
        <w:t>上传</w:t>
      </w:r>
      <w:r>
        <w:rPr>
          <w:rFonts w:hint="eastAsia" w:ascii="仿宋_GB2312"/>
          <w:b/>
          <w:bCs/>
          <w:sz w:val="24"/>
          <w:szCs w:val="20"/>
        </w:rPr>
        <w:t>《最终</w:t>
      </w:r>
      <w:r>
        <w:rPr>
          <w:rFonts w:hint="eastAsia" w:ascii="仿宋_GB2312"/>
          <w:b/>
          <w:sz w:val="28"/>
        </w:rPr>
        <w:t>响应</w:t>
      </w:r>
      <w:r>
        <w:rPr>
          <w:rFonts w:hint="eastAsia" w:ascii="仿宋_GB2312"/>
          <w:b/>
          <w:bCs/>
          <w:sz w:val="24"/>
          <w:szCs w:val="20"/>
        </w:rPr>
        <w:t>报价</w:t>
      </w:r>
      <w:r>
        <w:rPr>
          <w:rFonts w:ascii="仿宋_GB2312"/>
          <w:b/>
          <w:bCs/>
          <w:sz w:val="24"/>
          <w:szCs w:val="20"/>
        </w:rPr>
        <w:t>明细表</w:t>
      </w:r>
      <w:r>
        <w:rPr>
          <w:rFonts w:hint="eastAsia" w:ascii="仿宋_GB2312"/>
          <w:b/>
          <w:bCs/>
          <w:sz w:val="24"/>
          <w:szCs w:val="20"/>
        </w:rPr>
        <w:t>》</w:t>
      </w:r>
      <w:r>
        <w:rPr>
          <w:rFonts w:ascii="仿宋_GB2312"/>
          <w:b/>
          <w:bCs/>
          <w:sz w:val="24"/>
          <w:szCs w:val="20"/>
        </w:rPr>
        <w:t>。</w:t>
      </w:r>
    </w:p>
    <w:p w14:paraId="7CB45949">
      <w:pPr>
        <w:spacing w:line="440" w:lineRule="atLeast"/>
        <w:rPr>
          <w:rFonts w:ascii="仿宋_GB2312"/>
          <w:bCs/>
          <w:sz w:val="24"/>
          <w:szCs w:val="20"/>
        </w:rPr>
      </w:pPr>
    </w:p>
    <w:p w14:paraId="2DD230AB">
      <w:pPr>
        <w:spacing w:line="440" w:lineRule="atLeast"/>
        <w:rPr>
          <w:rFonts w:ascii="仿宋_GB2312"/>
          <w:bCs/>
          <w:sz w:val="24"/>
          <w:szCs w:val="20"/>
        </w:rPr>
      </w:pPr>
      <w:r>
        <w:rPr>
          <w:rFonts w:hint="eastAsia" w:ascii="仿宋_GB2312"/>
          <w:bCs/>
          <w:sz w:val="24"/>
          <w:szCs w:val="20"/>
        </w:rPr>
        <w:t>响应谈判供应商：（公章）</w:t>
      </w:r>
    </w:p>
    <w:p w14:paraId="73A1E05E">
      <w:pPr>
        <w:spacing w:line="440" w:lineRule="atLeast"/>
        <w:rPr>
          <w:rFonts w:ascii="仿宋_GB2312"/>
          <w:bCs/>
          <w:sz w:val="24"/>
          <w:szCs w:val="20"/>
        </w:rPr>
      </w:pPr>
      <w:r>
        <w:rPr>
          <w:rFonts w:hint="eastAsia" w:ascii="仿宋_GB2312"/>
          <w:bCs/>
          <w:sz w:val="24"/>
          <w:szCs w:val="20"/>
        </w:rPr>
        <w:t>法定代表人或被授权委托人：（签字或</w:t>
      </w:r>
      <w:r>
        <w:rPr>
          <w:rFonts w:ascii="仿宋_GB2312"/>
          <w:bCs/>
          <w:sz w:val="24"/>
          <w:szCs w:val="20"/>
        </w:rPr>
        <w:t>盖章</w:t>
      </w:r>
      <w:r>
        <w:rPr>
          <w:rFonts w:hint="eastAsia" w:ascii="仿宋_GB2312"/>
          <w:bCs/>
          <w:sz w:val="24"/>
          <w:szCs w:val="20"/>
        </w:rPr>
        <w:t xml:space="preserve">） </w:t>
      </w:r>
    </w:p>
    <w:p w14:paraId="24296498">
      <w:pPr>
        <w:spacing w:line="440" w:lineRule="atLeast"/>
        <w:rPr>
          <w:rFonts w:ascii="仿宋_GB2312"/>
          <w:bCs/>
          <w:sz w:val="24"/>
          <w:szCs w:val="20"/>
        </w:rPr>
        <w:sectPr>
          <w:footerReference r:id="rId24" w:type="default"/>
          <w:pgSz w:w="16840" w:h="11907" w:orient="landscape"/>
          <w:pgMar w:top="1418" w:right="1134" w:bottom="1134" w:left="1134" w:header="1021" w:footer="1021" w:gutter="170"/>
          <w:cols w:space="720" w:num="1"/>
          <w:docGrid w:linePitch="286" w:charSpace="0"/>
        </w:sectPr>
      </w:pPr>
      <w:r>
        <w:rPr>
          <w:rFonts w:hint="eastAsia" w:ascii="仿宋_GB2312"/>
          <w:bCs/>
          <w:sz w:val="24"/>
          <w:szCs w:val="20"/>
        </w:rPr>
        <w:t>日期：   年   月    日</w:t>
      </w:r>
    </w:p>
    <w:p w14:paraId="6304EB2A">
      <w:pPr>
        <w:spacing w:line="440" w:lineRule="atLeast"/>
        <w:jc w:val="left"/>
        <w:rPr>
          <w:b/>
          <w:bCs/>
          <w:color w:val="000000" w:themeColor="text1"/>
          <w:sz w:val="28"/>
          <w:szCs w:val="28"/>
          <w14:textFill>
            <w14:solidFill>
              <w14:schemeClr w14:val="tx1"/>
            </w14:solidFill>
          </w14:textFill>
        </w:rPr>
      </w:pPr>
      <w:r>
        <w:rPr>
          <w:rFonts w:hint="eastAsia"/>
          <w:b/>
          <w:bCs/>
          <w:color w:val="000000" w:themeColor="text1"/>
          <w:sz w:val="28"/>
          <w:szCs w:val="28"/>
          <w:lang w:eastAsia="zh-CN"/>
          <w14:textFill>
            <w14:solidFill>
              <w14:schemeClr w14:val="tx1"/>
            </w14:solidFill>
          </w14:textFill>
        </w:rPr>
        <w:t>七</w:t>
      </w:r>
      <w:r>
        <w:rPr>
          <w:rFonts w:hint="eastAsia"/>
          <w:b/>
          <w:bCs/>
          <w:color w:val="000000" w:themeColor="text1"/>
          <w:sz w:val="28"/>
          <w:szCs w:val="28"/>
          <w14:textFill>
            <w14:solidFill>
              <w14:schemeClr w14:val="tx1"/>
            </w14:solidFill>
          </w14:textFill>
        </w:rPr>
        <w:t>、</w:t>
      </w:r>
      <w:r>
        <w:rPr>
          <w:b/>
          <w:bCs/>
          <w:color w:val="000000" w:themeColor="text1"/>
          <w:sz w:val="28"/>
          <w:szCs w:val="28"/>
          <w14:textFill>
            <w14:solidFill>
              <w14:schemeClr w14:val="tx1"/>
            </w14:solidFill>
          </w14:textFill>
        </w:rPr>
        <w:t>残疾人福利性单位声明函</w:t>
      </w:r>
    </w:p>
    <w:p w14:paraId="4EBEA331">
      <w:pPr>
        <w:widowControl/>
        <w:shd w:val="clear" w:color="auto" w:fill="FFFFFF"/>
        <w:spacing w:line="360" w:lineRule="auto"/>
        <w:jc w:val="center"/>
        <w:rPr>
          <w:b/>
          <w:bCs/>
          <w:kern w:val="0"/>
          <w:sz w:val="28"/>
          <w:szCs w:val="28"/>
        </w:rPr>
      </w:pPr>
    </w:p>
    <w:p w14:paraId="02876F16">
      <w:pPr>
        <w:widowControl/>
        <w:shd w:val="clear" w:color="auto" w:fill="FFFFFF"/>
        <w:spacing w:line="360" w:lineRule="auto"/>
        <w:jc w:val="center"/>
        <w:rPr>
          <w:kern w:val="0"/>
          <w:szCs w:val="21"/>
        </w:rPr>
      </w:pPr>
      <w:r>
        <w:rPr>
          <w:b/>
          <w:bCs/>
          <w:kern w:val="0"/>
          <w:sz w:val="28"/>
          <w:szCs w:val="28"/>
        </w:rPr>
        <w:t>残疾人福利性单位声明函</w:t>
      </w:r>
    </w:p>
    <w:p w14:paraId="20BD6221">
      <w:pPr>
        <w:widowControl/>
        <w:shd w:val="clear" w:color="auto" w:fill="FFFFFF"/>
        <w:spacing w:line="360" w:lineRule="auto"/>
        <w:jc w:val="center"/>
        <w:rPr>
          <w:kern w:val="0"/>
          <w:szCs w:val="21"/>
        </w:rPr>
      </w:pPr>
      <w:r>
        <w:rPr>
          <w:b/>
          <w:bCs/>
          <w:kern w:val="0"/>
          <w:sz w:val="24"/>
        </w:rPr>
        <w:t>（残疾人福利性单位按下列格式提供）</w:t>
      </w:r>
    </w:p>
    <w:p w14:paraId="1C6A5C3E">
      <w:pPr>
        <w:widowControl/>
        <w:shd w:val="clear" w:color="auto" w:fill="FFFFFF"/>
        <w:spacing w:line="360" w:lineRule="auto"/>
        <w:ind w:firstLine="480"/>
        <w:jc w:val="left"/>
        <w:rPr>
          <w:kern w:val="0"/>
          <w:szCs w:val="21"/>
        </w:rPr>
      </w:pPr>
      <w:r>
        <w:rPr>
          <w:kern w:val="0"/>
          <w:sz w:val="24"/>
        </w:rPr>
        <w:t>本公司郑重声明，根据《财政部 民政部 中国残疾人联合会关于促进残疾人就业政府采购政策的通知》（财库〔2017〕141号）的规定，本单位为符合条件的残疾人福利性单</w:t>
      </w:r>
    </w:p>
    <w:p w14:paraId="37616F3F">
      <w:pPr>
        <w:pStyle w:val="97"/>
        <w:shd w:val="clear" w:color="auto" w:fill="FFFFFF"/>
        <w:spacing w:before="0" w:beforeAutospacing="0" w:after="0" w:afterAutospacing="0" w:line="360" w:lineRule="auto"/>
        <w:rPr>
          <w:rFonts w:ascii="Times New Roman" w:hAnsi="Times New Roman" w:cs="Times New Roman"/>
          <w:sz w:val="21"/>
          <w:szCs w:val="21"/>
        </w:rPr>
      </w:pPr>
      <w:r>
        <w:rPr>
          <w:rStyle w:val="96"/>
          <w:rFonts w:ascii="Times New Roman" w:hAnsi="Times New Roman" w:cs="Times New Roman"/>
        </w:rPr>
        <w:t>位，且本公司参加</w:t>
      </w:r>
      <w:r>
        <w:rPr>
          <w:rStyle w:val="96"/>
          <w:rFonts w:ascii="Times New Roman" w:hAnsi="Times New Roman" w:cs="Times New Roman"/>
          <w:u w:val="single"/>
        </w:rPr>
        <w:t xml:space="preserve"> </w:t>
      </w:r>
      <w:r>
        <w:rPr>
          <w:rStyle w:val="96"/>
          <w:rFonts w:ascii="Times New Roman" w:hAnsi="Times New Roman" w:cs="Times New Roman"/>
        </w:rPr>
        <w:t>单位的</w:t>
      </w:r>
      <w:r>
        <w:rPr>
          <w:rStyle w:val="96"/>
          <w:rFonts w:ascii="Times New Roman" w:hAnsi="Times New Roman" w:cs="Times New Roman"/>
          <w:u w:val="single"/>
        </w:rPr>
        <w:t xml:space="preserve"> </w:t>
      </w:r>
      <w:r>
        <w:rPr>
          <w:rStyle w:val="96"/>
          <w:rFonts w:ascii="Times New Roman" w:hAnsi="Times New Roman" w:cs="Times New Roman"/>
        </w:rPr>
        <w:t>项目采购活动提供本公司制造的货物（由本公司承担工程/提供服务），或者提供其他残疾人福利性单位制造的货物（不包括使用非残疾人福利性单位注册商标的货物）。</w:t>
      </w:r>
    </w:p>
    <w:p w14:paraId="2FF58A9F">
      <w:pPr>
        <w:pStyle w:val="97"/>
        <w:shd w:val="clear" w:color="auto" w:fill="FFFFFF"/>
        <w:spacing w:before="0" w:beforeAutospacing="0" w:after="0" w:afterAutospacing="0" w:line="360" w:lineRule="auto"/>
        <w:ind w:firstLine="420"/>
        <w:rPr>
          <w:rFonts w:ascii="Times New Roman" w:hAnsi="Times New Roman" w:cs="Times New Roman"/>
          <w:sz w:val="21"/>
          <w:szCs w:val="21"/>
        </w:rPr>
      </w:pPr>
      <w:r>
        <w:rPr>
          <w:rStyle w:val="96"/>
          <w:rFonts w:ascii="Times New Roman" w:hAnsi="Times New Roman" w:cs="Times New Roman"/>
        </w:rPr>
        <w:t>本公司对上述声明的真实性负责。如有虚假，将依法承担相应责任。</w:t>
      </w:r>
    </w:p>
    <w:p w14:paraId="79D3BB38">
      <w:pPr>
        <w:pStyle w:val="97"/>
        <w:shd w:val="clear" w:color="auto" w:fill="FFFFFF"/>
        <w:spacing w:before="0" w:beforeAutospacing="0" w:after="0" w:afterAutospacing="0" w:line="360" w:lineRule="auto"/>
        <w:rPr>
          <w:rFonts w:ascii="Times New Roman" w:hAnsi="Times New Roman" w:cs="Times New Roman"/>
          <w:sz w:val="21"/>
          <w:szCs w:val="21"/>
        </w:rPr>
      </w:pPr>
      <w:r>
        <w:rPr>
          <w:rFonts w:ascii="Times New Roman" w:hAnsi="Times New Roman" w:cs="Times New Roman"/>
        </w:rPr>
        <w:br w:type="textWrapping"/>
      </w:r>
    </w:p>
    <w:p w14:paraId="4AC23BCB">
      <w:pPr>
        <w:pStyle w:val="97"/>
        <w:shd w:val="clear" w:color="auto" w:fill="FFFFFF"/>
        <w:spacing w:before="0" w:beforeAutospacing="0" w:after="0" w:afterAutospacing="0" w:line="360" w:lineRule="auto"/>
        <w:ind w:firstLine="420"/>
        <w:rPr>
          <w:rFonts w:ascii="Times New Roman" w:hAnsi="Times New Roman" w:cs="Times New Roman"/>
          <w:sz w:val="21"/>
          <w:szCs w:val="21"/>
        </w:rPr>
      </w:pPr>
      <w:r>
        <w:rPr>
          <w:rStyle w:val="96"/>
          <w:rFonts w:ascii="Times New Roman" w:hAnsi="Times New Roman" w:cs="Times New Roman"/>
        </w:rPr>
        <w:t>响应谈判供应商名称（加盖公章）：</w:t>
      </w:r>
      <w:r>
        <w:rPr>
          <w:rStyle w:val="96"/>
          <w:rFonts w:ascii="Times New Roman" w:hAnsi="Times New Roman" w:cs="Times New Roman"/>
          <w:u w:val="single"/>
        </w:rPr>
        <w:t xml:space="preserve"> </w:t>
      </w:r>
    </w:p>
    <w:p w14:paraId="187CBCAE">
      <w:pPr>
        <w:pStyle w:val="97"/>
        <w:shd w:val="clear" w:color="auto" w:fill="FFFFFF"/>
        <w:spacing w:before="0" w:beforeAutospacing="0" w:after="0" w:afterAutospacing="0" w:line="360" w:lineRule="auto"/>
        <w:ind w:firstLine="420"/>
        <w:rPr>
          <w:rFonts w:ascii="Times New Roman" w:hAnsi="Times New Roman" w:cs="Times New Roman"/>
          <w:sz w:val="21"/>
          <w:szCs w:val="21"/>
        </w:rPr>
      </w:pPr>
      <w:r>
        <w:rPr>
          <w:rStyle w:val="96"/>
          <w:rFonts w:ascii="Times New Roman" w:hAnsi="Times New Roman" w:cs="Times New Roman"/>
        </w:rPr>
        <w:t>响应谈判供应商法定代表人或授权代表（签字或盖章）：</w:t>
      </w:r>
      <w:r>
        <w:rPr>
          <w:rStyle w:val="96"/>
          <w:rFonts w:ascii="Times New Roman" w:hAnsi="Times New Roman" w:cs="Times New Roman"/>
          <w:u w:val="single"/>
        </w:rPr>
        <w:t xml:space="preserve"> </w:t>
      </w:r>
    </w:p>
    <w:p w14:paraId="045F2233">
      <w:pPr>
        <w:pStyle w:val="97"/>
        <w:shd w:val="clear" w:color="auto" w:fill="FFFFFF"/>
        <w:spacing w:before="0" w:beforeAutospacing="0" w:after="0" w:afterAutospacing="0" w:line="360" w:lineRule="auto"/>
        <w:ind w:firstLine="420"/>
        <w:rPr>
          <w:rStyle w:val="96"/>
          <w:rFonts w:ascii="Times New Roman" w:hAnsi="Times New Roman" w:cs="Times New Roman"/>
        </w:rPr>
      </w:pPr>
      <w:r>
        <w:rPr>
          <w:rStyle w:val="96"/>
          <w:rFonts w:ascii="Times New Roman" w:hAnsi="Times New Roman" w:cs="Times New Roman"/>
        </w:rPr>
        <w:t>日期：</w:t>
      </w:r>
      <w:r>
        <w:rPr>
          <w:rStyle w:val="96"/>
          <w:rFonts w:ascii="Times New Roman" w:hAnsi="Times New Roman" w:cs="Times New Roman"/>
          <w:u w:val="single"/>
        </w:rPr>
        <w:t xml:space="preserve"> </w:t>
      </w:r>
      <w:r>
        <w:rPr>
          <w:rStyle w:val="96"/>
          <w:rFonts w:ascii="Times New Roman" w:hAnsi="Times New Roman" w:cs="Times New Roman"/>
        </w:rPr>
        <w:t>年</w:t>
      </w:r>
      <w:r>
        <w:rPr>
          <w:rStyle w:val="96"/>
          <w:rFonts w:ascii="Times New Roman" w:hAnsi="Times New Roman" w:cs="Times New Roman"/>
          <w:u w:val="single"/>
        </w:rPr>
        <w:t xml:space="preserve"> </w:t>
      </w:r>
      <w:r>
        <w:rPr>
          <w:rStyle w:val="96"/>
          <w:rFonts w:ascii="Times New Roman" w:hAnsi="Times New Roman" w:cs="Times New Roman"/>
        </w:rPr>
        <w:t>月</w:t>
      </w:r>
      <w:r>
        <w:rPr>
          <w:rStyle w:val="96"/>
          <w:rFonts w:ascii="Times New Roman" w:hAnsi="Times New Roman" w:cs="Times New Roman"/>
          <w:u w:val="single"/>
        </w:rPr>
        <w:t xml:space="preserve"> </w:t>
      </w:r>
      <w:r>
        <w:rPr>
          <w:rStyle w:val="96"/>
          <w:rFonts w:ascii="Times New Roman" w:hAnsi="Times New Roman" w:cs="Times New Roman"/>
        </w:rPr>
        <w:t>日</w:t>
      </w:r>
    </w:p>
    <w:p w14:paraId="50AFC0D7">
      <w:pPr>
        <w:pStyle w:val="97"/>
        <w:shd w:val="clear" w:color="auto" w:fill="FFFFFF"/>
        <w:spacing w:before="0" w:beforeAutospacing="0" w:after="0" w:afterAutospacing="0" w:line="360" w:lineRule="auto"/>
        <w:ind w:firstLine="420"/>
        <w:rPr>
          <w:rFonts w:ascii="Times New Roman" w:hAnsi="Times New Roman" w:cs="Times New Roman"/>
          <w:sz w:val="21"/>
          <w:szCs w:val="21"/>
        </w:rPr>
      </w:pPr>
    </w:p>
    <w:p w14:paraId="0185C86F">
      <w:pPr>
        <w:spacing w:line="440" w:lineRule="atLeast"/>
        <w:jc w:val="left"/>
        <w:rPr>
          <w:b/>
          <w:bCs/>
          <w:color w:val="000000" w:themeColor="text1"/>
          <w:sz w:val="28"/>
          <w:szCs w:val="28"/>
          <w14:textFill>
            <w14:solidFill>
              <w14:schemeClr w14:val="tx1"/>
            </w14:solidFill>
          </w14:textFill>
        </w:rPr>
      </w:pPr>
      <w:r>
        <w:rPr>
          <w:rFonts w:hint="eastAsia"/>
          <w:b/>
          <w:bCs/>
          <w:color w:val="000000" w:themeColor="text1"/>
          <w:sz w:val="28"/>
          <w:szCs w:val="28"/>
          <w:lang w:eastAsia="zh-CN"/>
          <w14:textFill>
            <w14:solidFill>
              <w14:schemeClr w14:val="tx1"/>
            </w14:solidFill>
          </w14:textFill>
        </w:rPr>
        <w:t>八</w:t>
      </w:r>
      <w:r>
        <w:rPr>
          <w:rFonts w:hint="eastAsia"/>
          <w:b/>
          <w:bCs/>
          <w:color w:val="000000" w:themeColor="text1"/>
          <w:sz w:val="28"/>
          <w:szCs w:val="28"/>
          <w14:textFill>
            <w14:solidFill>
              <w14:schemeClr w14:val="tx1"/>
            </w14:solidFill>
          </w14:textFill>
        </w:rPr>
        <w:t>、监狱企业声明函（监狱企业提交，格式自拟。）</w:t>
      </w:r>
    </w:p>
    <w:p w14:paraId="0466F304">
      <w:pPr>
        <w:spacing w:line="440" w:lineRule="atLeast"/>
        <w:jc w:val="center"/>
        <w:rPr>
          <w:rFonts w:ascii="仿宋_GB2312"/>
          <w:b/>
          <w:sz w:val="28"/>
        </w:rPr>
      </w:pPr>
    </w:p>
    <w:p w14:paraId="7C8585C4">
      <w:pPr>
        <w:spacing w:line="440" w:lineRule="atLeast"/>
        <w:jc w:val="center"/>
        <w:rPr>
          <w:rFonts w:ascii="仿宋_GB2312"/>
          <w:b/>
          <w:sz w:val="28"/>
        </w:rPr>
      </w:pPr>
    </w:p>
    <w:p w14:paraId="2969A713">
      <w:pPr>
        <w:spacing w:line="440" w:lineRule="atLeast"/>
        <w:jc w:val="center"/>
        <w:rPr>
          <w:rFonts w:ascii="仿宋_GB2312"/>
          <w:b/>
          <w:sz w:val="28"/>
        </w:rPr>
      </w:pPr>
    </w:p>
    <w:p w14:paraId="553B49A9">
      <w:pPr>
        <w:spacing w:line="440" w:lineRule="atLeast"/>
        <w:jc w:val="left"/>
        <w:rPr>
          <w:rFonts w:ascii="宋体"/>
          <w:b/>
          <w:sz w:val="28"/>
        </w:rPr>
      </w:pPr>
      <w:r>
        <w:rPr>
          <w:rFonts w:hint="eastAsia" w:ascii="仿宋_GB2312"/>
          <w:b/>
          <w:sz w:val="28"/>
          <w:lang w:eastAsia="zh-CN"/>
        </w:rPr>
        <w:t>九</w:t>
      </w:r>
      <w:r>
        <w:rPr>
          <w:rFonts w:hint="eastAsia" w:ascii="仿宋_GB2312"/>
          <w:b/>
          <w:sz w:val="28"/>
        </w:rPr>
        <w:t>、响应谈判供应商</w:t>
      </w:r>
      <w:r>
        <w:rPr>
          <w:rFonts w:hint="eastAsia" w:ascii="宋体"/>
          <w:b/>
          <w:sz w:val="28"/>
        </w:rPr>
        <w:t>提交的其他经济文件</w:t>
      </w:r>
    </w:p>
    <w:p w14:paraId="5E85B65A">
      <w:pPr>
        <w:rPr>
          <w:rFonts w:ascii="宋体" w:hAnsi="宋体"/>
          <w:sz w:val="36"/>
          <w:szCs w:val="36"/>
          <w:u w:val="single"/>
        </w:rPr>
      </w:pPr>
    </w:p>
    <w:p w14:paraId="4AB1925B">
      <w:pPr>
        <w:spacing w:line="360" w:lineRule="auto"/>
        <w:jc w:val="center"/>
        <w:rPr>
          <w:rFonts w:ascii="宋体" w:hAnsi="宋体"/>
          <w:b/>
          <w:kern w:val="0"/>
          <w:sz w:val="36"/>
          <w:szCs w:val="36"/>
        </w:rPr>
      </w:pPr>
    </w:p>
    <w:p w14:paraId="194889F9">
      <w:pPr>
        <w:spacing w:line="360" w:lineRule="auto"/>
        <w:jc w:val="center"/>
        <w:rPr>
          <w:rFonts w:ascii="宋体" w:hAnsi="宋体"/>
          <w:b/>
          <w:kern w:val="0"/>
          <w:sz w:val="36"/>
          <w:szCs w:val="36"/>
        </w:rPr>
      </w:pPr>
    </w:p>
    <w:p w14:paraId="0EE1D1ED">
      <w:pPr>
        <w:spacing w:line="360" w:lineRule="auto"/>
        <w:jc w:val="center"/>
        <w:rPr>
          <w:rFonts w:ascii="宋体" w:hAnsi="宋体"/>
          <w:b/>
          <w:kern w:val="0"/>
          <w:sz w:val="36"/>
          <w:szCs w:val="36"/>
        </w:rPr>
      </w:pPr>
    </w:p>
    <w:p w14:paraId="083F3AFB">
      <w:pPr>
        <w:spacing w:line="360" w:lineRule="auto"/>
        <w:jc w:val="center"/>
        <w:rPr>
          <w:rFonts w:ascii="宋体" w:hAnsi="宋体"/>
          <w:b/>
          <w:kern w:val="0"/>
          <w:sz w:val="36"/>
          <w:szCs w:val="36"/>
        </w:rPr>
      </w:pPr>
    </w:p>
    <w:p w14:paraId="62537899">
      <w:pPr>
        <w:spacing w:line="360" w:lineRule="auto"/>
        <w:rPr>
          <w:rFonts w:ascii="宋体" w:hAnsi="宋体"/>
          <w:b/>
          <w:kern w:val="0"/>
          <w:sz w:val="36"/>
          <w:szCs w:val="36"/>
        </w:rPr>
      </w:pPr>
    </w:p>
    <w:p w14:paraId="2691E681">
      <w:pPr>
        <w:spacing w:line="360" w:lineRule="auto"/>
        <w:rPr>
          <w:rFonts w:ascii="宋体" w:hAnsi="宋体"/>
          <w:b/>
          <w:kern w:val="0"/>
          <w:sz w:val="36"/>
          <w:szCs w:val="36"/>
        </w:rPr>
      </w:pPr>
    </w:p>
    <w:p w14:paraId="37467719">
      <w:pPr>
        <w:spacing w:line="600" w:lineRule="exact"/>
        <w:jc w:val="left"/>
        <w:rPr>
          <w:rFonts w:ascii="宋体" w:hAnsi="宋体" w:cs="宋体"/>
          <w:bCs/>
          <w:sz w:val="28"/>
          <w:szCs w:val="28"/>
        </w:rPr>
      </w:pPr>
      <w:r>
        <w:rPr>
          <w:rFonts w:hint="eastAsia" w:ascii="宋体" w:hAnsi="宋体" w:cs="宋体"/>
          <w:sz w:val="28"/>
          <w:szCs w:val="28"/>
        </w:rPr>
        <w:t>第三部分：磋商响应文件技术标部分</w:t>
      </w:r>
    </w:p>
    <w:p w14:paraId="2553DB0B">
      <w:pPr>
        <w:spacing w:line="600" w:lineRule="exact"/>
        <w:rPr>
          <w:rFonts w:ascii="宋体" w:hAnsi="宋体" w:cs="宋体"/>
          <w:sz w:val="28"/>
          <w:szCs w:val="28"/>
        </w:rPr>
      </w:pPr>
      <w:r>
        <w:rPr>
          <w:rFonts w:hint="eastAsia" w:ascii="宋体" w:hAnsi="宋体" w:cs="宋体"/>
          <w:sz w:val="28"/>
          <w:szCs w:val="28"/>
        </w:rPr>
        <w:t>一、供货方案</w:t>
      </w:r>
    </w:p>
    <w:p w14:paraId="65135883">
      <w:pPr>
        <w:spacing w:line="600" w:lineRule="exact"/>
        <w:ind w:firstLine="560" w:firstLineChars="200"/>
        <w:rPr>
          <w:rFonts w:ascii="宋体" w:hAnsi="宋体" w:cs="宋体"/>
          <w:bCs/>
          <w:sz w:val="28"/>
          <w:szCs w:val="28"/>
        </w:rPr>
      </w:pPr>
      <w:r>
        <w:rPr>
          <w:rFonts w:hint="eastAsia" w:ascii="宋体" w:hAnsi="宋体" w:cs="宋体"/>
          <w:bCs/>
          <w:sz w:val="28"/>
          <w:szCs w:val="28"/>
        </w:rPr>
        <w:t>可以从供货的保障措施、供货周期，设定备选供货方案等方面进行全面制定，格式自拟。</w:t>
      </w:r>
    </w:p>
    <w:p w14:paraId="323794D9">
      <w:pPr>
        <w:spacing w:line="600" w:lineRule="exact"/>
        <w:jc w:val="left"/>
        <w:rPr>
          <w:rFonts w:ascii="宋体" w:hAnsi="宋体" w:cs="宋体"/>
          <w:sz w:val="28"/>
          <w:szCs w:val="28"/>
        </w:rPr>
      </w:pPr>
      <w:r>
        <w:rPr>
          <w:rFonts w:hint="eastAsia" w:ascii="宋体" w:hAnsi="宋体" w:cs="宋体"/>
          <w:sz w:val="28"/>
          <w:szCs w:val="28"/>
        </w:rPr>
        <w:t>二、响应谈判供应商提交的其他技术文件</w:t>
      </w:r>
    </w:p>
    <w:p w14:paraId="18632A1E">
      <w:pPr>
        <w:spacing w:line="600" w:lineRule="exact"/>
        <w:rPr>
          <w:rFonts w:ascii="宋体" w:hAnsi="宋体" w:cs="宋体"/>
          <w:bCs/>
          <w:sz w:val="28"/>
          <w:szCs w:val="28"/>
        </w:rPr>
      </w:pPr>
    </w:p>
    <w:p w14:paraId="2F6ADB22">
      <w:pPr>
        <w:spacing w:line="600" w:lineRule="exact"/>
        <w:rPr>
          <w:rFonts w:ascii="宋体" w:hAnsi="宋体" w:cs="宋体"/>
          <w:bCs/>
          <w:sz w:val="28"/>
          <w:szCs w:val="28"/>
        </w:rPr>
      </w:pPr>
    </w:p>
    <w:p w14:paraId="1EE33D6C">
      <w:pPr>
        <w:spacing w:line="600" w:lineRule="exact"/>
        <w:rPr>
          <w:rFonts w:ascii="宋体" w:hAnsi="宋体" w:cs="宋体"/>
          <w:bCs/>
          <w:sz w:val="28"/>
          <w:szCs w:val="28"/>
        </w:rPr>
      </w:pPr>
    </w:p>
    <w:p w14:paraId="4857F7C0">
      <w:pPr>
        <w:spacing w:line="600" w:lineRule="exact"/>
        <w:rPr>
          <w:rFonts w:ascii="宋体" w:hAnsi="宋体" w:cs="宋体"/>
          <w:bCs/>
          <w:sz w:val="28"/>
          <w:szCs w:val="28"/>
        </w:rPr>
      </w:pPr>
    </w:p>
    <w:p w14:paraId="2F78D6D2">
      <w:pPr>
        <w:spacing w:line="600" w:lineRule="exact"/>
        <w:rPr>
          <w:rFonts w:ascii="宋体" w:hAnsi="宋体" w:cs="宋体"/>
          <w:bCs/>
          <w:sz w:val="28"/>
          <w:szCs w:val="28"/>
        </w:rPr>
      </w:pPr>
    </w:p>
    <w:p w14:paraId="31EB2E0B">
      <w:pPr>
        <w:spacing w:line="600" w:lineRule="exact"/>
        <w:rPr>
          <w:rFonts w:ascii="宋体" w:hAnsi="宋体" w:cs="宋体"/>
          <w:bCs/>
          <w:sz w:val="28"/>
          <w:szCs w:val="28"/>
        </w:rPr>
      </w:pPr>
    </w:p>
    <w:p w14:paraId="3A586AE2">
      <w:pPr>
        <w:spacing w:line="600" w:lineRule="exact"/>
        <w:rPr>
          <w:rFonts w:ascii="宋体" w:hAnsi="宋体" w:cs="宋体"/>
          <w:bCs/>
          <w:sz w:val="28"/>
          <w:szCs w:val="28"/>
        </w:rPr>
      </w:pPr>
    </w:p>
    <w:p w14:paraId="1251CEA5">
      <w:pPr>
        <w:spacing w:line="600" w:lineRule="exact"/>
        <w:rPr>
          <w:rFonts w:ascii="宋体" w:hAnsi="宋体" w:cs="宋体"/>
          <w:bCs/>
          <w:sz w:val="28"/>
          <w:szCs w:val="28"/>
        </w:rPr>
      </w:pPr>
    </w:p>
    <w:p w14:paraId="0081A28C">
      <w:pPr>
        <w:spacing w:line="600" w:lineRule="exact"/>
        <w:rPr>
          <w:rFonts w:ascii="宋体" w:hAnsi="宋体" w:cs="宋体"/>
          <w:bCs/>
          <w:sz w:val="28"/>
          <w:szCs w:val="28"/>
        </w:rPr>
      </w:pPr>
    </w:p>
    <w:p w14:paraId="6BD47C36">
      <w:pPr>
        <w:spacing w:line="600" w:lineRule="exact"/>
        <w:rPr>
          <w:rFonts w:ascii="宋体" w:hAnsi="宋体" w:cs="宋体"/>
          <w:bCs/>
          <w:sz w:val="28"/>
          <w:szCs w:val="28"/>
        </w:rPr>
      </w:pPr>
    </w:p>
    <w:p w14:paraId="1C838079">
      <w:pPr>
        <w:spacing w:line="600" w:lineRule="exact"/>
        <w:rPr>
          <w:rFonts w:ascii="宋体" w:hAnsi="宋体" w:cs="宋体"/>
          <w:bCs/>
          <w:sz w:val="28"/>
          <w:szCs w:val="28"/>
        </w:rPr>
      </w:pPr>
    </w:p>
    <w:p w14:paraId="054ECB3A">
      <w:pPr>
        <w:spacing w:line="600" w:lineRule="exact"/>
        <w:rPr>
          <w:rFonts w:ascii="宋体" w:hAnsi="宋体" w:cs="宋体"/>
          <w:bCs/>
          <w:sz w:val="28"/>
          <w:szCs w:val="28"/>
        </w:rPr>
      </w:pPr>
    </w:p>
    <w:p w14:paraId="6C2AB021">
      <w:pPr>
        <w:spacing w:line="600" w:lineRule="exact"/>
        <w:rPr>
          <w:rFonts w:ascii="宋体" w:hAnsi="宋体" w:cs="宋体"/>
          <w:bCs/>
          <w:sz w:val="28"/>
          <w:szCs w:val="28"/>
        </w:rPr>
      </w:pPr>
    </w:p>
    <w:p w14:paraId="5B414BD3">
      <w:pPr>
        <w:spacing w:line="600" w:lineRule="exact"/>
        <w:rPr>
          <w:rFonts w:ascii="宋体" w:hAnsi="宋体" w:cs="宋体"/>
          <w:bCs/>
          <w:sz w:val="28"/>
          <w:szCs w:val="28"/>
        </w:rPr>
      </w:pPr>
    </w:p>
    <w:p w14:paraId="63FC4B78">
      <w:pPr>
        <w:spacing w:line="600" w:lineRule="exact"/>
        <w:rPr>
          <w:rFonts w:ascii="宋体" w:hAnsi="宋体" w:cs="宋体"/>
          <w:bCs/>
          <w:sz w:val="28"/>
          <w:szCs w:val="28"/>
        </w:rPr>
      </w:pPr>
    </w:p>
    <w:p w14:paraId="45615598">
      <w:pPr>
        <w:spacing w:line="600" w:lineRule="exact"/>
        <w:rPr>
          <w:rFonts w:ascii="宋体" w:hAnsi="宋体" w:cs="宋体"/>
          <w:bCs/>
          <w:sz w:val="28"/>
          <w:szCs w:val="28"/>
        </w:rPr>
      </w:pPr>
    </w:p>
    <w:p w14:paraId="0D7AEB2D">
      <w:pPr>
        <w:spacing w:line="600" w:lineRule="exact"/>
        <w:rPr>
          <w:rFonts w:ascii="宋体" w:hAnsi="宋体" w:cs="宋体"/>
          <w:bCs/>
          <w:sz w:val="28"/>
          <w:szCs w:val="28"/>
        </w:rPr>
      </w:pPr>
    </w:p>
    <w:p w14:paraId="7CEA4CFF">
      <w:pPr>
        <w:spacing w:line="600" w:lineRule="exact"/>
        <w:rPr>
          <w:rFonts w:ascii="宋体" w:hAnsi="宋体" w:cs="宋体"/>
          <w:bCs/>
          <w:sz w:val="28"/>
          <w:szCs w:val="28"/>
        </w:rPr>
      </w:pPr>
    </w:p>
    <w:p w14:paraId="35C6F912">
      <w:pPr>
        <w:rPr>
          <w:rFonts w:ascii="宋体" w:hAnsi="宋体"/>
          <w:sz w:val="24"/>
        </w:rPr>
      </w:pPr>
    </w:p>
    <w:p w14:paraId="2D4DF684">
      <w:pPr>
        <w:spacing w:line="360" w:lineRule="auto"/>
        <w:jc w:val="left"/>
        <w:rPr>
          <w:rFonts w:ascii="宋体" w:hAnsi="宋体"/>
          <w:b/>
          <w:bCs/>
          <w:sz w:val="24"/>
        </w:rPr>
      </w:pPr>
      <w:r>
        <w:rPr>
          <w:rFonts w:hint="eastAsia" w:ascii="宋体" w:hAnsi="宋体"/>
          <w:b/>
          <w:bCs/>
          <w:sz w:val="24"/>
        </w:rPr>
        <w:t>第四部分：磋商响应文件商务标部分</w:t>
      </w:r>
    </w:p>
    <w:p w14:paraId="22F6EAAA">
      <w:pPr>
        <w:pStyle w:val="69"/>
        <w:widowControl/>
        <w:numPr>
          <w:ilvl w:val="0"/>
          <w:numId w:val="15"/>
        </w:numPr>
        <w:ind w:firstLineChars="0"/>
        <w:jc w:val="left"/>
        <w:rPr>
          <w:rFonts w:ascii="宋体" w:hAnsi="宋体"/>
          <w:bCs/>
          <w:sz w:val="24"/>
        </w:rPr>
      </w:pPr>
      <w:r>
        <w:rPr>
          <w:rFonts w:hint="eastAsia" w:ascii="宋体" w:hAnsi="宋体"/>
          <w:bCs/>
          <w:sz w:val="24"/>
        </w:rPr>
        <w:t>响应谈判供应商简介。</w:t>
      </w:r>
    </w:p>
    <w:p w14:paraId="7A809D17">
      <w:pPr>
        <w:widowControl/>
        <w:ind w:firstLine="480" w:firstLineChars="200"/>
        <w:jc w:val="left"/>
        <w:rPr>
          <w:rFonts w:ascii="宋体" w:hAnsi="宋体"/>
          <w:bCs/>
          <w:sz w:val="24"/>
          <w:szCs w:val="22"/>
        </w:rPr>
      </w:pPr>
      <w:r>
        <w:rPr>
          <w:rFonts w:hint="eastAsia" w:ascii="宋体" w:hAnsi="宋体"/>
          <w:bCs/>
          <w:sz w:val="24"/>
          <w:szCs w:val="22"/>
        </w:rPr>
        <w:t>响应谈判供应商应阐述企业的自然情况、谈判响应货物市场评价及取得的荣誉信息等，格式自拟。</w:t>
      </w:r>
    </w:p>
    <w:p w14:paraId="269B7252">
      <w:pPr>
        <w:widowControl/>
        <w:jc w:val="left"/>
        <w:rPr>
          <w:rFonts w:ascii="宋体" w:hAnsi="宋体"/>
          <w:sz w:val="24"/>
        </w:rPr>
      </w:pPr>
      <w:r>
        <w:rPr>
          <w:rFonts w:hint="eastAsia" w:ascii="宋体" w:hAnsi="宋体"/>
          <w:b/>
          <w:sz w:val="24"/>
        </w:rPr>
        <w:t>二、</w:t>
      </w:r>
      <w:r>
        <w:rPr>
          <w:rFonts w:hint="eastAsia" w:ascii="宋体" w:hAnsi="宋体"/>
          <w:sz w:val="24"/>
        </w:rPr>
        <w:t>服务承诺（格式自拟）。</w:t>
      </w:r>
    </w:p>
    <w:p w14:paraId="61A254D4">
      <w:pPr>
        <w:spacing w:line="440" w:lineRule="atLeast"/>
        <w:jc w:val="left"/>
        <w:rPr>
          <w:rFonts w:ascii="宋体" w:hAnsi="宋体"/>
          <w:sz w:val="24"/>
        </w:rPr>
      </w:pPr>
      <w:r>
        <w:rPr>
          <w:rFonts w:hint="eastAsia" w:ascii="宋体" w:hAnsi="宋体"/>
          <w:sz w:val="24"/>
        </w:rPr>
        <w:t>三、节能产品清单说明表</w:t>
      </w:r>
    </w:p>
    <w:p w14:paraId="27603D08">
      <w:pPr>
        <w:spacing w:line="440" w:lineRule="atLeast"/>
        <w:ind w:firstLine="480" w:firstLineChars="200"/>
        <w:jc w:val="left"/>
        <w:rPr>
          <w:rFonts w:ascii="宋体" w:hAnsi="宋体"/>
          <w:sz w:val="24"/>
        </w:rPr>
      </w:pPr>
      <w:r>
        <w:rPr>
          <w:rFonts w:hint="eastAsia" w:ascii="宋体" w:hAnsi="宋体"/>
          <w:sz w:val="24"/>
        </w:rPr>
        <w:t>如投标产品为节能产品，须提供投标产品节能产品政府采购品目清单、认证证书及查询截图。否则本项目可不提交。</w:t>
      </w:r>
    </w:p>
    <w:p w14:paraId="321225C9">
      <w:pPr>
        <w:spacing w:line="440" w:lineRule="atLeast"/>
        <w:jc w:val="left"/>
        <w:rPr>
          <w:rFonts w:ascii="宋体" w:hAnsi="宋体"/>
          <w:sz w:val="24"/>
        </w:rPr>
      </w:pPr>
      <w:r>
        <w:rPr>
          <w:rFonts w:hint="eastAsia" w:ascii="宋体" w:hAnsi="宋体"/>
          <w:sz w:val="24"/>
        </w:rPr>
        <w:t>四、环境标志产品情况说明</w:t>
      </w:r>
    </w:p>
    <w:p w14:paraId="0C73C525">
      <w:pPr>
        <w:spacing w:line="440" w:lineRule="atLeast"/>
        <w:ind w:firstLine="480" w:firstLineChars="200"/>
        <w:jc w:val="left"/>
        <w:rPr>
          <w:rFonts w:ascii="宋体" w:hAnsi="宋体"/>
          <w:sz w:val="24"/>
        </w:rPr>
      </w:pPr>
      <w:r>
        <w:rPr>
          <w:rFonts w:hint="eastAsia" w:ascii="宋体" w:hAnsi="宋体"/>
          <w:sz w:val="24"/>
        </w:rPr>
        <w:t>如投标产品为环境标志产品，须提供投标产品环境标志产品政府采购品目清单、认证证书及查询截图。否则本项目可不提交。</w:t>
      </w:r>
    </w:p>
    <w:p w14:paraId="77D16679">
      <w:pPr>
        <w:spacing w:line="440" w:lineRule="atLeast"/>
        <w:jc w:val="left"/>
        <w:rPr>
          <w:rFonts w:ascii="宋体" w:hAnsi="宋体"/>
          <w:sz w:val="24"/>
        </w:rPr>
      </w:pPr>
      <w:r>
        <w:rPr>
          <w:rFonts w:hint="eastAsia" w:ascii="宋体" w:hAnsi="宋体"/>
          <w:sz w:val="24"/>
        </w:rPr>
        <w:t>五</w:t>
      </w:r>
      <w:r>
        <w:rPr>
          <w:rFonts w:ascii="宋体" w:hAnsi="宋体"/>
          <w:sz w:val="24"/>
        </w:rPr>
        <w:t>、技术偏离表</w:t>
      </w:r>
    </w:p>
    <w:tbl>
      <w:tblPr>
        <w:tblStyle w:val="41"/>
        <w:tblW w:w="9214" w:type="dxa"/>
        <w:tblInd w:w="-5" w:type="dxa"/>
        <w:tblLayout w:type="fixed"/>
        <w:tblCellMar>
          <w:top w:w="0" w:type="dxa"/>
          <w:left w:w="10" w:type="dxa"/>
          <w:bottom w:w="0" w:type="dxa"/>
          <w:right w:w="10" w:type="dxa"/>
        </w:tblCellMar>
      </w:tblPr>
      <w:tblGrid>
        <w:gridCol w:w="539"/>
        <w:gridCol w:w="1275"/>
        <w:gridCol w:w="1447"/>
        <w:gridCol w:w="1417"/>
        <w:gridCol w:w="1559"/>
        <w:gridCol w:w="1418"/>
        <w:gridCol w:w="1559"/>
      </w:tblGrid>
      <w:tr w14:paraId="2F0C532F">
        <w:tblPrEx>
          <w:tblCellMar>
            <w:top w:w="0" w:type="dxa"/>
            <w:left w:w="10" w:type="dxa"/>
            <w:bottom w:w="0" w:type="dxa"/>
            <w:right w:w="10" w:type="dxa"/>
          </w:tblCellMar>
        </w:tblPrEx>
        <w:trPr>
          <w:trHeight w:val="1149" w:hRule="atLeast"/>
        </w:trPr>
        <w:tc>
          <w:tcPr>
            <w:tcW w:w="539" w:type="dxa"/>
            <w:tcBorders>
              <w:top w:val="single" w:color="000000" w:sz="4" w:space="0"/>
              <w:left w:val="single" w:color="000000" w:sz="4" w:space="0"/>
              <w:right w:val="single" w:color="000000" w:sz="4" w:space="0"/>
            </w:tcBorders>
            <w:tcMar>
              <w:left w:w="108" w:type="dxa"/>
              <w:right w:w="108" w:type="dxa"/>
            </w:tcMar>
            <w:vAlign w:val="center"/>
          </w:tcPr>
          <w:p w14:paraId="375535A1">
            <w:pPr>
              <w:spacing w:line="440" w:lineRule="atLeast"/>
              <w:jc w:val="left"/>
              <w:rPr>
                <w:rFonts w:ascii="宋体" w:hAnsi="宋体"/>
                <w:sz w:val="24"/>
              </w:rPr>
            </w:pPr>
            <w:r>
              <w:rPr>
                <w:rFonts w:ascii="宋体" w:hAnsi="宋体"/>
                <w:sz w:val="24"/>
              </w:rPr>
              <w:t>序号</w:t>
            </w:r>
          </w:p>
        </w:tc>
        <w:tc>
          <w:tcPr>
            <w:tcW w:w="1275" w:type="dxa"/>
            <w:tcBorders>
              <w:top w:val="single" w:color="000000" w:sz="4" w:space="0"/>
              <w:left w:val="single" w:color="000000" w:sz="4" w:space="0"/>
              <w:right w:val="single" w:color="000000" w:sz="4" w:space="0"/>
            </w:tcBorders>
            <w:tcMar>
              <w:left w:w="108" w:type="dxa"/>
              <w:right w:w="108" w:type="dxa"/>
            </w:tcMar>
            <w:vAlign w:val="center"/>
          </w:tcPr>
          <w:p w14:paraId="5AF73D20">
            <w:pPr>
              <w:spacing w:line="440" w:lineRule="atLeast"/>
              <w:jc w:val="left"/>
              <w:rPr>
                <w:rFonts w:ascii="宋体" w:hAnsi="宋体"/>
                <w:sz w:val="24"/>
              </w:rPr>
            </w:pPr>
            <w:r>
              <w:rPr>
                <w:rFonts w:hint="eastAsia" w:ascii="宋体" w:hAnsi="宋体"/>
                <w:sz w:val="24"/>
              </w:rPr>
              <w:t>采购</w:t>
            </w:r>
            <w:r>
              <w:rPr>
                <w:rFonts w:ascii="宋体" w:hAnsi="宋体"/>
                <w:sz w:val="24"/>
              </w:rPr>
              <w:t>货物名称</w:t>
            </w:r>
          </w:p>
        </w:tc>
        <w:tc>
          <w:tcPr>
            <w:tcW w:w="1447" w:type="dxa"/>
            <w:tcBorders>
              <w:top w:val="single" w:color="000000" w:sz="4" w:space="0"/>
              <w:left w:val="single" w:color="000000" w:sz="4" w:space="0"/>
              <w:right w:val="single" w:color="000000" w:sz="4" w:space="0"/>
            </w:tcBorders>
            <w:tcMar>
              <w:left w:w="108" w:type="dxa"/>
              <w:right w:w="108" w:type="dxa"/>
            </w:tcMar>
            <w:vAlign w:val="center"/>
          </w:tcPr>
          <w:p w14:paraId="59F0D415">
            <w:pPr>
              <w:spacing w:line="440" w:lineRule="atLeast"/>
              <w:jc w:val="left"/>
              <w:rPr>
                <w:rFonts w:ascii="宋体" w:hAnsi="宋体"/>
                <w:sz w:val="24"/>
              </w:rPr>
            </w:pPr>
            <w:r>
              <w:rPr>
                <w:rFonts w:hint="eastAsia" w:ascii="宋体" w:hAnsi="宋体"/>
                <w:sz w:val="24"/>
              </w:rPr>
              <w:t>采购</w:t>
            </w:r>
            <w:r>
              <w:rPr>
                <w:rFonts w:ascii="宋体" w:hAnsi="宋体"/>
                <w:sz w:val="24"/>
              </w:rPr>
              <w:t>货物</w:t>
            </w:r>
            <w:r>
              <w:rPr>
                <w:rFonts w:hint="eastAsia" w:ascii="宋体" w:hAnsi="宋体"/>
                <w:sz w:val="24"/>
              </w:rPr>
              <w:t>技术参数</w:t>
            </w:r>
          </w:p>
        </w:tc>
        <w:tc>
          <w:tcPr>
            <w:tcW w:w="1417" w:type="dxa"/>
            <w:tcBorders>
              <w:top w:val="single" w:color="000000" w:sz="4" w:space="0"/>
              <w:left w:val="single" w:color="000000" w:sz="4" w:space="0"/>
              <w:right w:val="single" w:color="000000" w:sz="4" w:space="0"/>
            </w:tcBorders>
            <w:tcMar>
              <w:left w:w="108" w:type="dxa"/>
              <w:right w:w="108" w:type="dxa"/>
            </w:tcMar>
            <w:vAlign w:val="center"/>
          </w:tcPr>
          <w:p w14:paraId="07051335">
            <w:pPr>
              <w:spacing w:line="440" w:lineRule="atLeast"/>
              <w:jc w:val="left"/>
              <w:rPr>
                <w:rFonts w:ascii="宋体" w:hAnsi="宋体"/>
                <w:sz w:val="24"/>
              </w:rPr>
            </w:pPr>
            <w:r>
              <w:rPr>
                <w:rFonts w:hint="eastAsia" w:ascii="宋体" w:hAnsi="宋体"/>
                <w:sz w:val="24"/>
              </w:rPr>
              <w:t>响应谈判</w:t>
            </w:r>
          </w:p>
          <w:p w14:paraId="68BE891B">
            <w:pPr>
              <w:spacing w:line="440" w:lineRule="atLeast"/>
              <w:jc w:val="left"/>
              <w:rPr>
                <w:rFonts w:ascii="宋体" w:hAnsi="宋体"/>
                <w:sz w:val="24"/>
              </w:rPr>
            </w:pPr>
            <w:r>
              <w:rPr>
                <w:rFonts w:ascii="宋体" w:hAnsi="宋体"/>
                <w:sz w:val="24"/>
              </w:rPr>
              <w:t>货物品牌</w:t>
            </w:r>
          </w:p>
        </w:tc>
        <w:tc>
          <w:tcPr>
            <w:tcW w:w="1559" w:type="dxa"/>
            <w:tcBorders>
              <w:top w:val="single" w:color="000000" w:sz="4" w:space="0"/>
              <w:left w:val="single" w:color="000000" w:sz="4" w:space="0"/>
              <w:right w:val="single" w:color="000000" w:sz="4" w:space="0"/>
            </w:tcBorders>
            <w:vAlign w:val="center"/>
          </w:tcPr>
          <w:p w14:paraId="709EBB21">
            <w:pPr>
              <w:spacing w:line="440" w:lineRule="atLeast"/>
              <w:jc w:val="left"/>
              <w:rPr>
                <w:rFonts w:ascii="宋体" w:hAnsi="宋体"/>
                <w:sz w:val="24"/>
              </w:rPr>
            </w:pPr>
            <w:r>
              <w:rPr>
                <w:rFonts w:hint="eastAsia" w:ascii="宋体" w:hAnsi="宋体"/>
                <w:sz w:val="24"/>
              </w:rPr>
              <w:t>响应谈判</w:t>
            </w:r>
          </w:p>
          <w:p w14:paraId="147DD787">
            <w:pPr>
              <w:spacing w:line="440" w:lineRule="atLeast"/>
              <w:jc w:val="left"/>
              <w:rPr>
                <w:rFonts w:ascii="宋体" w:hAnsi="宋体"/>
                <w:sz w:val="24"/>
              </w:rPr>
            </w:pPr>
            <w:r>
              <w:rPr>
                <w:rFonts w:hint="eastAsia" w:ascii="宋体" w:hAnsi="宋体"/>
                <w:sz w:val="24"/>
              </w:rPr>
              <w:t>货物型号</w:t>
            </w:r>
          </w:p>
        </w:tc>
        <w:tc>
          <w:tcPr>
            <w:tcW w:w="1418" w:type="dxa"/>
            <w:tcBorders>
              <w:top w:val="single" w:color="000000" w:sz="4" w:space="0"/>
              <w:left w:val="single" w:color="000000" w:sz="4" w:space="0"/>
              <w:right w:val="single" w:color="000000" w:sz="4" w:space="0"/>
            </w:tcBorders>
            <w:tcMar>
              <w:left w:w="108" w:type="dxa"/>
              <w:right w:w="108" w:type="dxa"/>
            </w:tcMar>
            <w:vAlign w:val="center"/>
          </w:tcPr>
          <w:p w14:paraId="3AC2174E">
            <w:pPr>
              <w:spacing w:line="440" w:lineRule="atLeast"/>
              <w:jc w:val="left"/>
              <w:rPr>
                <w:rFonts w:ascii="宋体" w:hAnsi="宋体"/>
                <w:sz w:val="24"/>
              </w:rPr>
            </w:pPr>
            <w:r>
              <w:rPr>
                <w:rFonts w:hint="eastAsia" w:ascii="宋体" w:hAnsi="宋体"/>
                <w:sz w:val="24"/>
              </w:rPr>
              <w:t>响应谈判</w:t>
            </w:r>
            <w:r>
              <w:rPr>
                <w:rFonts w:ascii="宋体" w:hAnsi="宋体"/>
                <w:sz w:val="24"/>
              </w:rPr>
              <w:t>货物</w:t>
            </w:r>
            <w:r>
              <w:rPr>
                <w:rFonts w:hint="eastAsia" w:ascii="宋体" w:hAnsi="宋体"/>
                <w:sz w:val="24"/>
              </w:rPr>
              <w:t>技术参数</w:t>
            </w:r>
          </w:p>
        </w:tc>
        <w:tc>
          <w:tcPr>
            <w:tcW w:w="1559" w:type="dxa"/>
            <w:tcBorders>
              <w:top w:val="single" w:color="000000" w:sz="4" w:space="0"/>
              <w:left w:val="single" w:color="000000" w:sz="4" w:space="0"/>
              <w:right w:val="single" w:color="000000" w:sz="4" w:space="0"/>
            </w:tcBorders>
            <w:tcMar>
              <w:left w:w="108" w:type="dxa"/>
              <w:right w:w="108" w:type="dxa"/>
            </w:tcMar>
            <w:vAlign w:val="center"/>
          </w:tcPr>
          <w:p w14:paraId="4304ED31">
            <w:pPr>
              <w:spacing w:line="440" w:lineRule="atLeast"/>
              <w:jc w:val="left"/>
              <w:rPr>
                <w:rFonts w:ascii="宋体" w:hAnsi="宋体"/>
                <w:sz w:val="24"/>
              </w:rPr>
            </w:pPr>
            <w:r>
              <w:rPr>
                <w:rFonts w:hint="eastAsia" w:ascii="宋体" w:hAnsi="宋体"/>
                <w:sz w:val="24"/>
              </w:rPr>
              <w:t>正</w:t>
            </w:r>
            <w:r>
              <w:rPr>
                <w:rFonts w:ascii="宋体" w:hAnsi="宋体"/>
                <w:sz w:val="24"/>
              </w:rPr>
              <w:t>偏离说明</w:t>
            </w:r>
          </w:p>
        </w:tc>
      </w:tr>
      <w:tr w14:paraId="0C226A85">
        <w:tblPrEx>
          <w:tblCellMar>
            <w:top w:w="0" w:type="dxa"/>
            <w:left w:w="10" w:type="dxa"/>
            <w:bottom w:w="0" w:type="dxa"/>
            <w:right w:w="10" w:type="dxa"/>
          </w:tblCellMar>
        </w:tblPrEx>
        <w:trPr>
          <w:trHeight w:val="676" w:hRule="atLeast"/>
        </w:trPr>
        <w:tc>
          <w:tcPr>
            <w:tcW w:w="539" w:type="dxa"/>
            <w:tcBorders>
              <w:top w:val="single" w:color="000000" w:sz="4" w:space="0"/>
              <w:left w:val="single" w:color="000000" w:sz="4" w:space="0"/>
              <w:right w:val="single" w:color="000000" w:sz="4" w:space="0"/>
            </w:tcBorders>
            <w:tcMar>
              <w:left w:w="108" w:type="dxa"/>
              <w:right w:w="108" w:type="dxa"/>
            </w:tcMar>
            <w:vAlign w:val="center"/>
          </w:tcPr>
          <w:p w14:paraId="06DFF883">
            <w:pPr>
              <w:spacing w:line="440" w:lineRule="atLeast"/>
              <w:jc w:val="left"/>
              <w:rPr>
                <w:rFonts w:ascii="宋体" w:hAnsi="宋体"/>
                <w:sz w:val="24"/>
              </w:rPr>
            </w:pPr>
            <w:r>
              <w:rPr>
                <w:rFonts w:ascii="宋体" w:hAnsi="宋体"/>
                <w:sz w:val="24"/>
              </w:rPr>
              <w:t>1</w:t>
            </w:r>
          </w:p>
        </w:tc>
        <w:tc>
          <w:tcPr>
            <w:tcW w:w="1275" w:type="dxa"/>
            <w:tcBorders>
              <w:top w:val="single" w:color="000000" w:sz="4" w:space="0"/>
              <w:left w:val="single" w:color="000000" w:sz="4" w:space="0"/>
              <w:right w:val="single" w:color="000000" w:sz="4" w:space="0"/>
            </w:tcBorders>
            <w:tcMar>
              <w:left w:w="108" w:type="dxa"/>
              <w:right w:w="108" w:type="dxa"/>
            </w:tcMar>
            <w:vAlign w:val="center"/>
          </w:tcPr>
          <w:p w14:paraId="594D632D">
            <w:pPr>
              <w:spacing w:line="440" w:lineRule="atLeast"/>
              <w:jc w:val="left"/>
              <w:rPr>
                <w:rFonts w:ascii="宋体" w:hAnsi="宋体"/>
                <w:sz w:val="24"/>
              </w:rPr>
            </w:pPr>
          </w:p>
        </w:tc>
        <w:tc>
          <w:tcPr>
            <w:tcW w:w="1447" w:type="dxa"/>
            <w:tcBorders>
              <w:top w:val="single" w:color="000000" w:sz="4" w:space="0"/>
              <w:left w:val="single" w:color="000000" w:sz="4" w:space="0"/>
              <w:right w:val="single" w:color="000000" w:sz="4" w:space="0"/>
            </w:tcBorders>
            <w:tcMar>
              <w:left w:w="108" w:type="dxa"/>
              <w:right w:w="108" w:type="dxa"/>
            </w:tcMar>
            <w:vAlign w:val="center"/>
          </w:tcPr>
          <w:p w14:paraId="08E287EC">
            <w:pPr>
              <w:spacing w:line="440" w:lineRule="atLeast"/>
              <w:jc w:val="left"/>
              <w:rPr>
                <w:rFonts w:ascii="宋体" w:hAnsi="宋体"/>
                <w:sz w:val="24"/>
              </w:rPr>
            </w:pPr>
          </w:p>
        </w:tc>
        <w:tc>
          <w:tcPr>
            <w:tcW w:w="1417" w:type="dxa"/>
            <w:tcBorders>
              <w:top w:val="single" w:color="000000" w:sz="4" w:space="0"/>
              <w:left w:val="single" w:color="000000" w:sz="4" w:space="0"/>
              <w:right w:val="single" w:color="000000" w:sz="4" w:space="0"/>
            </w:tcBorders>
            <w:tcMar>
              <w:left w:w="108" w:type="dxa"/>
              <w:right w:w="108" w:type="dxa"/>
            </w:tcMar>
            <w:vAlign w:val="center"/>
          </w:tcPr>
          <w:p w14:paraId="758522A7">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vAlign w:val="center"/>
          </w:tcPr>
          <w:p w14:paraId="0F8F4A2C">
            <w:pPr>
              <w:spacing w:line="440" w:lineRule="atLeast"/>
              <w:jc w:val="left"/>
              <w:rPr>
                <w:rFonts w:ascii="宋体" w:hAnsi="宋体"/>
                <w:sz w:val="24"/>
              </w:rPr>
            </w:pPr>
          </w:p>
        </w:tc>
        <w:tc>
          <w:tcPr>
            <w:tcW w:w="1418" w:type="dxa"/>
            <w:tcBorders>
              <w:top w:val="single" w:color="000000" w:sz="4" w:space="0"/>
              <w:left w:val="single" w:color="000000" w:sz="4" w:space="0"/>
              <w:right w:val="single" w:color="000000" w:sz="4" w:space="0"/>
            </w:tcBorders>
            <w:tcMar>
              <w:left w:w="108" w:type="dxa"/>
              <w:right w:w="108" w:type="dxa"/>
            </w:tcMar>
            <w:vAlign w:val="center"/>
          </w:tcPr>
          <w:p w14:paraId="071D23E0">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tcMar>
              <w:left w:w="108" w:type="dxa"/>
              <w:right w:w="108" w:type="dxa"/>
            </w:tcMar>
            <w:vAlign w:val="center"/>
          </w:tcPr>
          <w:p w14:paraId="03F5EA19">
            <w:pPr>
              <w:spacing w:line="440" w:lineRule="atLeast"/>
              <w:jc w:val="left"/>
              <w:rPr>
                <w:rFonts w:ascii="宋体" w:hAnsi="宋体"/>
                <w:sz w:val="24"/>
              </w:rPr>
            </w:pPr>
          </w:p>
        </w:tc>
      </w:tr>
      <w:tr w14:paraId="38257199">
        <w:tblPrEx>
          <w:tblCellMar>
            <w:top w:w="0" w:type="dxa"/>
            <w:left w:w="10" w:type="dxa"/>
            <w:bottom w:w="0" w:type="dxa"/>
            <w:right w:w="10" w:type="dxa"/>
          </w:tblCellMar>
        </w:tblPrEx>
        <w:trPr>
          <w:trHeight w:val="704" w:hRule="atLeast"/>
        </w:trPr>
        <w:tc>
          <w:tcPr>
            <w:tcW w:w="539" w:type="dxa"/>
            <w:tcBorders>
              <w:top w:val="single" w:color="000000" w:sz="4" w:space="0"/>
              <w:left w:val="single" w:color="000000" w:sz="4" w:space="0"/>
              <w:right w:val="single" w:color="000000" w:sz="4" w:space="0"/>
            </w:tcBorders>
            <w:tcMar>
              <w:left w:w="108" w:type="dxa"/>
              <w:right w:w="108" w:type="dxa"/>
            </w:tcMar>
            <w:vAlign w:val="center"/>
          </w:tcPr>
          <w:p w14:paraId="1F5D34F4">
            <w:pPr>
              <w:spacing w:line="440" w:lineRule="atLeast"/>
              <w:jc w:val="left"/>
              <w:rPr>
                <w:rFonts w:ascii="宋体" w:hAnsi="宋体"/>
                <w:sz w:val="24"/>
              </w:rPr>
            </w:pPr>
            <w:r>
              <w:rPr>
                <w:rFonts w:ascii="宋体" w:hAnsi="宋体"/>
                <w:sz w:val="24"/>
              </w:rPr>
              <w:t>2</w:t>
            </w:r>
          </w:p>
        </w:tc>
        <w:tc>
          <w:tcPr>
            <w:tcW w:w="1275" w:type="dxa"/>
            <w:tcBorders>
              <w:top w:val="single" w:color="000000" w:sz="4" w:space="0"/>
              <w:left w:val="single" w:color="000000" w:sz="4" w:space="0"/>
              <w:right w:val="single" w:color="000000" w:sz="4" w:space="0"/>
            </w:tcBorders>
            <w:tcMar>
              <w:left w:w="108" w:type="dxa"/>
              <w:right w:w="108" w:type="dxa"/>
            </w:tcMar>
            <w:vAlign w:val="center"/>
          </w:tcPr>
          <w:p w14:paraId="55C536CD">
            <w:pPr>
              <w:spacing w:line="440" w:lineRule="atLeast"/>
              <w:jc w:val="left"/>
              <w:rPr>
                <w:rFonts w:ascii="宋体" w:hAnsi="宋体"/>
                <w:sz w:val="24"/>
              </w:rPr>
            </w:pPr>
          </w:p>
        </w:tc>
        <w:tc>
          <w:tcPr>
            <w:tcW w:w="1447" w:type="dxa"/>
            <w:tcBorders>
              <w:top w:val="single" w:color="000000" w:sz="4" w:space="0"/>
              <w:left w:val="single" w:color="000000" w:sz="4" w:space="0"/>
              <w:right w:val="single" w:color="000000" w:sz="4" w:space="0"/>
            </w:tcBorders>
            <w:tcMar>
              <w:left w:w="108" w:type="dxa"/>
              <w:right w:w="108" w:type="dxa"/>
            </w:tcMar>
            <w:vAlign w:val="center"/>
          </w:tcPr>
          <w:p w14:paraId="09D43F3A">
            <w:pPr>
              <w:spacing w:line="440" w:lineRule="atLeast"/>
              <w:jc w:val="left"/>
              <w:rPr>
                <w:rFonts w:ascii="宋体" w:hAnsi="宋体"/>
                <w:sz w:val="24"/>
              </w:rPr>
            </w:pPr>
          </w:p>
        </w:tc>
        <w:tc>
          <w:tcPr>
            <w:tcW w:w="1417" w:type="dxa"/>
            <w:tcBorders>
              <w:top w:val="single" w:color="000000" w:sz="4" w:space="0"/>
              <w:left w:val="single" w:color="000000" w:sz="4" w:space="0"/>
              <w:right w:val="single" w:color="000000" w:sz="4" w:space="0"/>
            </w:tcBorders>
            <w:tcMar>
              <w:left w:w="108" w:type="dxa"/>
              <w:right w:w="108" w:type="dxa"/>
            </w:tcMar>
            <w:vAlign w:val="center"/>
          </w:tcPr>
          <w:p w14:paraId="2E8A4500">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vAlign w:val="center"/>
          </w:tcPr>
          <w:p w14:paraId="0985DBEF">
            <w:pPr>
              <w:spacing w:line="440" w:lineRule="atLeast"/>
              <w:jc w:val="left"/>
              <w:rPr>
                <w:rFonts w:ascii="宋体" w:hAnsi="宋体"/>
                <w:sz w:val="24"/>
              </w:rPr>
            </w:pPr>
          </w:p>
        </w:tc>
        <w:tc>
          <w:tcPr>
            <w:tcW w:w="1418" w:type="dxa"/>
            <w:tcBorders>
              <w:top w:val="single" w:color="000000" w:sz="4" w:space="0"/>
              <w:left w:val="single" w:color="000000" w:sz="4" w:space="0"/>
              <w:right w:val="single" w:color="000000" w:sz="4" w:space="0"/>
            </w:tcBorders>
            <w:tcMar>
              <w:left w:w="108" w:type="dxa"/>
              <w:right w:w="108" w:type="dxa"/>
            </w:tcMar>
            <w:vAlign w:val="center"/>
          </w:tcPr>
          <w:p w14:paraId="6F530583">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tcMar>
              <w:left w:w="108" w:type="dxa"/>
              <w:right w:w="108" w:type="dxa"/>
            </w:tcMar>
            <w:vAlign w:val="center"/>
          </w:tcPr>
          <w:p w14:paraId="5F075A70">
            <w:pPr>
              <w:spacing w:line="440" w:lineRule="atLeast"/>
              <w:jc w:val="left"/>
              <w:rPr>
                <w:rFonts w:ascii="宋体" w:hAnsi="宋体"/>
                <w:sz w:val="24"/>
              </w:rPr>
            </w:pPr>
          </w:p>
        </w:tc>
      </w:tr>
      <w:tr w14:paraId="65921EE2">
        <w:tblPrEx>
          <w:tblCellMar>
            <w:top w:w="0" w:type="dxa"/>
            <w:left w:w="10" w:type="dxa"/>
            <w:bottom w:w="0" w:type="dxa"/>
            <w:right w:w="10" w:type="dxa"/>
          </w:tblCellMar>
        </w:tblPrEx>
        <w:trPr>
          <w:trHeight w:val="700" w:hRule="atLeast"/>
        </w:trPr>
        <w:tc>
          <w:tcPr>
            <w:tcW w:w="539"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F83DE8A">
            <w:pPr>
              <w:spacing w:line="440" w:lineRule="atLeast"/>
              <w:jc w:val="left"/>
              <w:rPr>
                <w:rFonts w:ascii="宋体" w:hAnsi="宋体"/>
                <w:sz w:val="24"/>
              </w:rPr>
            </w:pPr>
            <w:r>
              <w:rPr>
                <w:rFonts w:ascii="宋体" w:hAnsi="宋体"/>
                <w:sz w:val="24"/>
              </w:rPr>
              <w:t>…</w:t>
            </w:r>
          </w:p>
        </w:tc>
        <w:tc>
          <w:tcPr>
            <w:tcW w:w="1275"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50FD1372">
            <w:pPr>
              <w:spacing w:line="440" w:lineRule="atLeast"/>
              <w:jc w:val="left"/>
              <w:rPr>
                <w:rFonts w:ascii="宋体" w:hAnsi="宋体"/>
                <w:sz w:val="24"/>
              </w:rPr>
            </w:pPr>
          </w:p>
        </w:tc>
        <w:tc>
          <w:tcPr>
            <w:tcW w:w="1447"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17DFE8EA">
            <w:pPr>
              <w:spacing w:line="440" w:lineRule="atLeast"/>
              <w:jc w:val="left"/>
              <w:rPr>
                <w:rFonts w:ascii="宋体" w:hAnsi="宋体"/>
                <w:sz w:val="24"/>
              </w:rPr>
            </w:pPr>
          </w:p>
        </w:tc>
        <w:tc>
          <w:tcPr>
            <w:tcW w:w="1417"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3F70D16">
            <w:pPr>
              <w:spacing w:line="440" w:lineRule="atLeast"/>
              <w:jc w:val="left"/>
              <w:rPr>
                <w:rFonts w:ascii="宋体" w:hAnsi="宋体"/>
                <w:sz w:val="24"/>
              </w:rPr>
            </w:pPr>
          </w:p>
        </w:tc>
        <w:tc>
          <w:tcPr>
            <w:tcW w:w="1559" w:type="dxa"/>
            <w:tcBorders>
              <w:top w:val="single" w:color="000000" w:sz="4" w:space="0"/>
              <w:left w:val="single" w:color="000000" w:sz="4" w:space="0"/>
              <w:bottom w:val="single" w:color="auto" w:sz="4" w:space="0"/>
              <w:right w:val="single" w:color="000000" w:sz="4" w:space="0"/>
            </w:tcBorders>
            <w:vAlign w:val="center"/>
          </w:tcPr>
          <w:p w14:paraId="37BDC1AF">
            <w:pPr>
              <w:spacing w:line="440" w:lineRule="atLeast"/>
              <w:jc w:val="left"/>
              <w:rPr>
                <w:rFonts w:ascii="宋体" w:hAnsi="宋体"/>
                <w:sz w:val="24"/>
              </w:rPr>
            </w:pPr>
          </w:p>
        </w:tc>
        <w:tc>
          <w:tcPr>
            <w:tcW w:w="1418"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5BC355D">
            <w:pPr>
              <w:spacing w:line="440" w:lineRule="atLeast"/>
              <w:jc w:val="left"/>
              <w:rPr>
                <w:rFonts w:ascii="宋体" w:hAnsi="宋体"/>
                <w:sz w:val="24"/>
              </w:rPr>
            </w:pPr>
          </w:p>
        </w:tc>
        <w:tc>
          <w:tcPr>
            <w:tcW w:w="1559"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2057DBA5">
            <w:pPr>
              <w:spacing w:line="440" w:lineRule="atLeast"/>
              <w:jc w:val="left"/>
              <w:rPr>
                <w:rFonts w:ascii="宋体" w:hAnsi="宋体"/>
                <w:sz w:val="24"/>
              </w:rPr>
            </w:pPr>
          </w:p>
        </w:tc>
      </w:tr>
    </w:tbl>
    <w:p w14:paraId="31B7AB0E">
      <w:pPr>
        <w:spacing w:line="440" w:lineRule="atLeast"/>
        <w:jc w:val="left"/>
        <w:rPr>
          <w:rFonts w:ascii="宋体" w:hAnsi="宋体"/>
          <w:sz w:val="24"/>
        </w:rPr>
      </w:pPr>
      <w:r>
        <w:rPr>
          <w:rFonts w:hint="eastAsia" w:ascii="宋体" w:hAnsi="宋体"/>
          <w:sz w:val="24"/>
        </w:rPr>
        <w:t>填表</w:t>
      </w:r>
      <w:r>
        <w:rPr>
          <w:rFonts w:ascii="宋体" w:hAnsi="宋体"/>
          <w:sz w:val="24"/>
        </w:rPr>
        <w:t>说明：</w:t>
      </w:r>
    </w:p>
    <w:p w14:paraId="6E2A0197">
      <w:pPr>
        <w:spacing w:line="440" w:lineRule="atLeast"/>
        <w:jc w:val="left"/>
        <w:rPr>
          <w:rFonts w:ascii="宋体" w:hAnsi="宋体"/>
          <w:sz w:val="24"/>
        </w:rPr>
      </w:pPr>
      <w:r>
        <w:rPr>
          <w:rFonts w:hint="eastAsia" w:ascii="宋体" w:hAnsi="宋体"/>
          <w:sz w:val="24"/>
        </w:rPr>
        <w:t>1.本表只需填写响应谈判货物与采购货物的技术参数有偏离情况的货物，没有偏离情况的货物无需填写，如所有响应谈判货物均没有偏离情况，此表可为空表。</w:t>
      </w:r>
    </w:p>
    <w:p w14:paraId="5C8BDEF6">
      <w:pPr>
        <w:spacing w:line="440" w:lineRule="atLeast"/>
        <w:jc w:val="left"/>
        <w:rPr>
          <w:rFonts w:ascii="宋体" w:hAnsi="宋体"/>
          <w:sz w:val="24"/>
        </w:rPr>
      </w:pPr>
      <w:r>
        <w:rPr>
          <w:rFonts w:hint="eastAsia" w:ascii="宋体" w:hAnsi="宋体"/>
          <w:sz w:val="24"/>
        </w:rPr>
        <w:t>2.响应谈判货物技术参数应填写响应货物的实际参数。</w:t>
      </w:r>
    </w:p>
    <w:p w14:paraId="7CF56CCA">
      <w:pPr>
        <w:spacing w:line="440" w:lineRule="atLeast"/>
        <w:jc w:val="left"/>
        <w:rPr>
          <w:rFonts w:ascii="宋体" w:hAnsi="宋体"/>
          <w:sz w:val="24"/>
        </w:rPr>
      </w:pPr>
      <w:r>
        <w:rPr>
          <w:rFonts w:hint="eastAsia" w:ascii="宋体" w:hAnsi="宋体"/>
          <w:sz w:val="24"/>
        </w:rPr>
        <w:t>3.技术参数存在正偏离的投标货物须提供投标货物的技术参数证明文件，否则不予认定。</w:t>
      </w:r>
    </w:p>
    <w:p w14:paraId="616C4FC1">
      <w:pPr>
        <w:spacing w:line="440" w:lineRule="atLeast"/>
        <w:jc w:val="left"/>
        <w:rPr>
          <w:rFonts w:ascii="宋体" w:hAnsi="宋体"/>
          <w:sz w:val="24"/>
        </w:rPr>
      </w:pPr>
      <w:r>
        <w:rPr>
          <w:rFonts w:hint="eastAsia" w:ascii="宋体" w:hAnsi="宋体"/>
          <w:sz w:val="24"/>
        </w:rPr>
        <w:t>4.正偏离应为技术指标和性能指标的实质性偏离，其他非实质性偏离不予认定。</w:t>
      </w:r>
    </w:p>
    <w:p w14:paraId="4AF5019B">
      <w:pPr>
        <w:spacing w:line="360" w:lineRule="auto"/>
        <w:rPr>
          <w:sz w:val="24"/>
        </w:rPr>
      </w:pPr>
      <w:r>
        <w:rPr>
          <w:rFonts w:hint="eastAsia"/>
          <w:sz w:val="24"/>
        </w:rPr>
        <w:t>六、响应谈判供应商提交的其它文件</w:t>
      </w:r>
    </w:p>
    <w:p w14:paraId="344B7951">
      <w:pPr>
        <w:rPr>
          <w:rFonts w:ascii="宋体" w:hAnsi="宋体"/>
          <w:b/>
          <w:sz w:val="36"/>
          <w:szCs w:val="36"/>
        </w:rPr>
      </w:pPr>
    </w:p>
    <w:p w14:paraId="4E79E261">
      <w:pPr>
        <w:adjustRightInd w:val="0"/>
        <w:snapToGrid w:val="0"/>
        <w:spacing w:line="300" w:lineRule="auto"/>
        <w:jc w:val="center"/>
        <w:outlineLvl w:val="0"/>
        <w:rPr>
          <w:rFonts w:ascii="宋体" w:hAnsi="宋体"/>
          <w:b/>
          <w:sz w:val="30"/>
          <w:szCs w:val="30"/>
        </w:rPr>
      </w:pPr>
    </w:p>
    <w:p w14:paraId="34EE87CB">
      <w:pPr>
        <w:adjustRightInd w:val="0"/>
        <w:snapToGrid w:val="0"/>
        <w:spacing w:line="300" w:lineRule="auto"/>
        <w:jc w:val="center"/>
        <w:outlineLvl w:val="0"/>
        <w:rPr>
          <w:rFonts w:ascii="宋体" w:hAnsi="宋体"/>
          <w:b/>
          <w:sz w:val="30"/>
          <w:szCs w:val="30"/>
        </w:rPr>
      </w:pPr>
    </w:p>
    <w:p w14:paraId="3DDC4772">
      <w:pPr>
        <w:adjustRightInd w:val="0"/>
        <w:snapToGrid w:val="0"/>
        <w:spacing w:line="300" w:lineRule="auto"/>
        <w:jc w:val="center"/>
        <w:outlineLvl w:val="0"/>
        <w:rPr>
          <w:rFonts w:ascii="宋体" w:hAnsi="宋体"/>
          <w:b/>
          <w:sz w:val="30"/>
          <w:szCs w:val="30"/>
        </w:rPr>
      </w:pPr>
    </w:p>
    <w:p w14:paraId="239FE2EA">
      <w:pPr>
        <w:adjustRightInd w:val="0"/>
        <w:snapToGrid w:val="0"/>
        <w:spacing w:line="300" w:lineRule="auto"/>
        <w:jc w:val="center"/>
        <w:outlineLvl w:val="0"/>
        <w:rPr>
          <w:rFonts w:ascii="宋体" w:hAnsi="宋体"/>
          <w:b/>
          <w:sz w:val="30"/>
          <w:szCs w:val="30"/>
        </w:rPr>
      </w:pPr>
    </w:p>
    <w:p w14:paraId="300FC1CB">
      <w:pPr>
        <w:adjustRightInd w:val="0"/>
        <w:snapToGrid w:val="0"/>
        <w:spacing w:line="300" w:lineRule="auto"/>
        <w:outlineLvl w:val="0"/>
        <w:rPr>
          <w:rFonts w:ascii="宋体" w:hAnsi="宋体"/>
          <w:b/>
          <w:sz w:val="30"/>
          <w:szCs w:val="30"/>
        </w:rPr>
      </w:pPr>
      <w:bookmarkStart w:id="64" w:name="_Toc103723530"/>
    </w:p>
    <w:p w14:paraId="678A49EE">
      <w:pPr>
        <w:adjustRightInd w:val="0"/>
        <w:snapToGrid w:val="0"/>
        <w:spacing w:line="300" w:lineRule="auto"/>
        <w:jc w:val="center"/>
        <w:outlineLvl w:val="0"/>
        <w:rPr>
          <w:rFonts w:ascii="华文中宋" w:hAnsi="华文中宋" w:eastAsia="华文中宋"/>
          <w:sz w:val="30"/>
          <w:szCs w:val="30"/>
        </w:rPr>
      </w:pPr>
      <w:r>
        <w:rPr>
          <w:rFonts w:hint="eastAsia" w:ascii="宋体" w:hAnsi="宋体"/>
          <w:b/>
          <w:sz w:val="30"/>
          <w:szCs w:val="30"/>
        </w:rPr>
        <w:t>附件一：</w:t>
      </w:r>
      <w:bookmarkEnd w:id="64"/>
      <w:r>
        <w:rPr>
          <w:rFonts w:hint="eastAsia" w:ascii="宋体" w:hAnsi="宋体" w:cs="宋体"/>
          <w:sz w:val="30"/>
          <w:szCs w:val="30"/>
        </w:rPr>
        <w:t>关于印发中小企业划型标准规定的通知</w:t>
      </w:r>
    </w:p>
    <w:p w14:paraId="3F4330B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工信部联企业〔2011〕300号</w:t>
      </w:r>
    </w:p>
    <w:p w14:paraId="0FB09C9F">
      <w:pPr>
        <w:adjustRightInd w:val="0"/>
        <w:snapToGrid w:val="0"/>
        <w:spacing w:line="360" w:lineRule="auto"/>
        <w:jc w:val="left"/>
        <w:rPr>
          <w:rFonts w:ascii="华文中宋" w:hAnsi="华文中宋" w:eastAsia="华文中宋"/>
          <w:b/>
          <w:sz w:val="24"/>
        </w:rPr>
      </w:pPr>
      <w:r>
        <w:rPr>
          <w:rFonts w:hint="eastAsia" w:ascii="宋体" w:hAnsi="宋体" w:cs="宋体"/>
          <w:kern w:val="0"/>
          <w:sz w:val="24"/>
        </w:rPr>
        <w:t>各省、自治区、直辖市人民政府，国务院各部委、各直属机构及有关单位：</w:t>
      </w:r>
      <w:r>
        <w:rPr>
          <w:rFonts w:hint="eastAsia" w:ascii="宋体" w:hAnsi="宋体" w:cs="宋体"/>
          <w:kern w:val="0"/>
          <w:sz w:val="24"/>
        </w:rPr>
        <w:br w:type="textWrapping"/>
      </w:r>
      <w:r>
        <w:rPr>
          <w:rFonts w:hint="eastAsia" w:ascii="宋体" w:hAnsi="宋体" w:cs="宋体"/>
          <w:kern w:val="0"/>
          <w:sz w:val="24"/>
        </w:rPr>
        <w:t>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r>
        <w:rPr>
          <w:rFonts w:hint="eastAsia" w:ascii="华文中宋" w:hAnsi="华文中宋" w:eastAsia="华文中宋"/>
          <w:b/>
          <w:sz w:val="24"/>
        </w:rPr>
        <w:t xml:space="preserve"> </w:t>
      </w:r>
    </w:p>
    <w:p w14:paraId="057545D3">
      <w:pPr>
        <w:adjustRightInd w:val="0"/>
        <w:snapToGrid w:val="0"/>
        <w:spacing w:line="360" w:lineRule="auto"/>
        <w:jc w:val="right"/>
        <w:rPr>
          <w:rFonts w:ascii="华文中宋" w:hAnsi="华文中宋" w:eastAsia="华文中宋"/>
          <w:b/>
          <w:sz w:val="24"/>
        </w:rPr>
      </w:pPr>
      <w:r>
        <w:rPr>
          <w:rFonts w:hint="eastAsia" w:ascii="宋体" w:hAnsi="宋体" w:cs="宋体"/>
          <w:kern w:val="0"/>
          <w:sz w:val="24"/>
        </w:rPr>
        <w:t>工业和信息化部　国家统计局</w:t>
      </w:r>
      <w:r>
        <w:rPr>
          <w:rFonts w:hint="eastAsia" w:ascii="宋体" w:hAnsi="宋体" w:cs="宋体"/>
          <w:kern w:val="0"/>
          <w:sz w:val="24"/>
        </w:rPr>
        <w:br w:type="textWrapping"/>
      </w:r>
      <w:r>
        <w:rPr>
          <w:rFonts w:hint="eastAsia" w:ascii="宋体" w:hAnsi="宋体" w:cs="宋体"/>
          <w:kern w:val="0"/>
          <w:sz w:val="24"/>
        </w:rPr>
        <w:t xml:space="preserve">                                     国家发展和改革委员会　财政部                                                　                   二○一一年六月十八日</w:t>
      </w:r>
    </w:p>
    <w:p w14:paraId="7F045CC1">
      <w:pPr>
        <w:widowControl/>
        <w:spacing w:before="100" w:beforeAutospacing="1" w:after="100" w:afterAutospacing="1"/>
        <w:jc w:val="center"/>
        <w:rPr>
          <w:rFonts w:ascii="宋体" w:hAnsi="宋体" w:cs="宋体"/>
          <w:kern w:val="0"/>
          <w:sz w:val="28"/>
          <w:szCs w:val="28"/>
        </w:rPr>
      </w:pPr>
      <w:r>
        <w:rPr>
          <w:rFonts w:hint="eastAsia" w:ascii="宋体" w:hAnsi="宋体"/>
          <w:b/>
          <w:sz w:val="30"/>
          <w:szCs w:val="30"/>
        </w:rPr>
        <w:t>中小企业划型标准规定</w:t>
      </w:r>
    </w:p>
    <w:p w14:paraId="656765A7">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一、根据《中华人民共和国中小企业促进法》和《国务院关于进一步促进中小企业发展的若干意见》(国发〔2009〕36号)，制定本规定。</w:t>
      </w:r>
    </w:p>
    <w:p w14:paraId="4AB39627">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二、中小企业划分为中型、小型、微型三种类型，具体标准根据企业从业人员、营业收入、资产总额等指标，结合行业特点制定。</w:t>
      </w:r>
    </w:p>
    <w:p w14:paraId="669431E1">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5E4A6B2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四、各行业划型标准为：</w:t>
      </w:r>
    </w:p>
    <w:p w14:paraId="67FE0FB5">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（一）农、林、牧、渔业。营业收入20000万元以下的为中小微型企业。其中，营业收入500万元及以上的为中型企业，营业收入50万元及以上的为小型企业，营业收入50万元以下的为微型企业。</w:t>
      </w:r>
    </w:p>
    <w:p w14:paraId="18AD90B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5595568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5D266784">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255E1C4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26709EA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498316A1">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4507ED8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C3092CF">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E7CFA92">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2BA5980B">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AC6B225">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03ACE83F">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1B56723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5E68335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5E878E5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（十六）其他未列明行业。从业人员300人以下的为中小微型企业。其中，从业人员100人及以上的为中型企业；从业人员10人及以上的为小型企业；从业人员10人以下的为微型企业。</w:t>
      </w:r>
    </w:p>
    <w:p w14:paraId="116D713C">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五、企业类型的划分以统计部门的统计数据为依据。</w:t>
      </w:r>
    </w:p>
    <w:p w14:paraId="2E9DD068">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六、本规定适用于在中华人民共和国境内依法设立的各类所有制和各种组织形式的企业。个体工商户和本规定以外的行业，参照本规定进行划型。</w:t>
      </w:r>
    </w:p>
    <w:p w14:paraId="7750F5C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七、本规定的中型企业标准上限即为大型企业标准的下限，国家统计部门据此制定大中小微型企业的统计分类。国务院有关部门据此进行相关数据分析，不得制定与本规定不一致的企业划型标准。</w:t>
      </w:r>
    </w:p>
    <w:p w14:paraId="77F2B95F">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八、本规定由工业和信息化部、国家统计局会同有关部门根据《国民经济行业分类》修订情况和企业发展变化情况适时修订。</w:t>
      </w:r>
    </w:p>
    <w:p w14:paraId="35BE741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九、本规定由工业和信息化部、国家统计局会同有关部门负责解释。</w:t>
      </w:r>
    </w:p>
    <w:p w14:paraId="6679471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十、本规定自发布之日起执行，原国家经贸委、原国家计委、财政部和国家统计局2003年颁布的《中小企业标准暂行规定》同时废止。</w:t>
      </w:r>
    </w:p>
    <w:p w14:paraId="55A90CEE">
      <w:pPr>
        <w:adjustRightInd w:val="0"/>
        <w:snapToGrid w:val="0"/>
        <w:spacing w:line="360" w:lineRule="auto"/>
        <w:ind w:firstLine="480" w:firstLineChars="200"/>
        <w:jc w:val="left"/>
        <w:rPr>
          <w:rFonts w:ascii="宋体" w:hAnsi="宋体" w:cs="宋体"/>
          <w:kern w:val="0"/>
          <w:sz w:val="24"/>
        </w:rPr>
      </w:pPr>
    </w:p>
    <w:p w14:paraId="5161DC8E">
      <w:pPr>
        <w:adjustRightInd w:val="0"/>
        <w:snapToGrid w:val="0"/>
        <w:spacing w:line="360" w:lineRule="auto"/>
        <w:jc w:val="center"/>
        <w:outlineLvl w:val="0"/>
        <w:rPr>
          <w:rFonts w:ascii="宋体" w:hAnsi="宋体"/>
          <w:b/>
          <w:sz w:val="30"/>
          <w:szCs w:val="30"/>
        </w:rPr>
      </w:pPr>
    </w:p>
    <w:p w14:paraId="3257021D">
      <w:pPr>
        <w:adjustRightInd w:val="0"/>
        <w:snapToGrid w:val="0"/>
        <w:spacing w:line="300" w:lineRule="auto"/>
        <w:jc w:val="left"/>
        <w:outlineLvl w:val="0"/>
        <w:rPr>
          <w:rFonts w:ascii="宋体" w:hAnsi="宋体"/>
          <w:sz w:val="24"/>
        </w:rPr>
      </w:pPr>
    </w:p>
    <w:sectPr>
      <w:headerReference r:id="rId26" w:type="first"/>
      <w:footerReference r:id="rId27" w:type="default"/>
      <w:headerReference r:id="rId25" w:type="even"/>
      <w:pgSz w:w="11907" w:h="16840"/>
      <w:pgMar w:top="1418" w:right="1134" w:bottom="1134" w:left="1134" w:header="1021" w:footer="1021" w:gutter="170"/>
      <w:paperSrc w:first="7" w:other="7"/>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Malgun Gothic Semilight">
    <w:altName w:val="宋体"/>
    <w:panose1 w:val="020B0502040204020203"/>
    <w:charset w:val="86"/>
    <w:family w:val="auto"/>
    <w:pitch w:val="default"/>
    <w:sig w:usb0="00000000" w:usb1="00000000" w:usb2="00000012" w:usb3="00000000" w:csb0="203E01BD" w:csb1="D7FF0000"/>
  </w:font>
  <w:font w:name="华文中宋">
    <w:panose1 w:val="02010600040101010101"/>
    <w:charset w:val="86"/>
    <w:family w:val="auto"/>
    <w:pitch w:val="default"/>
    <w:sig w:usb0="00000287" w:usb1="080F0000" w:usb2="00000000" w:usb3="00000000" w:csb0="0004009F" w:csb1="DFD70000"/>
  </w:font>
  <w:font w:name="汉仪书宋二S">
    <w:altName w:val="Times New Roman"/>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95A1D">
    <w:pPr>
      <w:pStyle w:val="26"/>
      <w:framePr w:wrap="around" w:vAnchor="text" w:hAnchor="margin" w:xAlign="center" w:y="1"/>
      <w:rPr>
        <w:rStyle w:val="45"/>
      </w:rPr>
    </w:pPr>
    <w:r>
      <w:fldChar w:fldCharType="begin"/>
    </w:r>
    <w:r>
      <w:rPr>
        <w:rStyle w:val="45"/>
      </w:rPr>
      <w:instrText xml:space="preserve">PAGE  </w:instrText>
    </w:r>
    <w:r>
      <w:fldChar w:fldCharType="end"/>
    </w:r>
  </w:p>
  <w:p w14:paraId="4162E3B3">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B033C">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BCEC0">
    <w:pPr>
      <w:pStyle w:val="26"/>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DFBB4">
                          <w:pPr>
                            <w:pStyle w:val="26"/>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3E6DFBB4">
                    <w:pPr>
                      <w:pStyle w:val="26"/>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9253272"/>
      <w:docPartObj>
        <w:docPartGallery w:val="autotext"/>
      </w:docPartObj>
    </w:sdtPr>
    <w:sdtContent>
      <w:p w14:paraId="127BEA05">
        <w:pPr>
          <w:pStyle w:val="26"/>
          <w:jc w:val="center"/>
        </w:pPr>
        <w:r>
          <w:fldChar w:fldCharType="begin"/>
        </w:r>
        <w:r>
          <w:instrText xml:space="preserve">PAGE   \* MERGEFORMAT</w:instrText>
        </w:r>
        <w:r>
          <w:fldChar w:fldCharType="separate"/>
        </w:r>
        <w:r>
          <w:rPr>
            <w:lang w:val="zh-CN"/>
          </w:rPr>
          <w:t>2</w:t>
        </w:r>
        <w:r>
          <w:fldChar w:fldCharType="end"/>
        </w:r>
      </w:p>
    </w:sdtContent>
  </w:sdt>
  <w:p w14:paraId="589259AE">
    <w:pPr>
      <w:pStyle w:val="26"/>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60BF0">
    <w:pPr>
      <w:pStyle w:val="26"/>
      <w:framePr w:wrap="around" w:vAnchor="text" w:hAnchor="margin" w:xAlign="center" w:y="1"/>
      <w:rPr>
        <w:rStyle w:val="45"/>
      </w:rPr>
    </w:pPr>
    <w:r>
      <w:fldChar w:fldCharType="begin"/>
    </w:r>
    <w:r>
      <w:rPr>
        <w:rStyle w:val="45"/>
      </w:rPr>
      <w:instrText xml:space="preserve">PAGE  </w:instrText>
    </w:r>
    <w:r>
      <w:fldChar w:fldCharType="separate"/>
    </w:r>
    <w:r>
      <w:rPr>
        <w:rStyle w:val="45"/>
      </w:rPr>
      <w:t>48</w:t>
    </w:r>
    <w:r>
      <w:fldChar w:fldCharType="end"/>
    </w:r>
  </w:p>
  <w:p w14:paraId="17B4BC40">
    <w:pPr>
      <w:pStyle w:val="26"/>
      <w:tabs>
        <w:tab w:val="left" w:pos="5040"/>
        <w:tab w:val="left" w:pos="5460"/>
        <w:tab w:val="clear" w:pos="8306"/>
      </w:tabs>
      <w:ind w:right="360"/>
    </w:pP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0260794"/>
      <w:docPartObj>
        <w:docPartGallery w:val="autotext"/>
      </w:docPartObj>
    </w:sdtPr>
    <w:sdtContent>
      <w:p w14:paraId="55B34ADA">
        <w:pPr>
          <w:pStyle w:val="26"/>
          <w:jc w:val="center"/>
        </w:pPr>
        <w:r>
          <w:fldChar w:fldCharType="begin"/>
        </w:r>
        <w:r>
          <w:instrText xml:space="preserve">PAGE   \* MERGEFORMAT</w:instrText>
        </w:r>
        <w:r>
          <w:fldChar w:fldCharType="separate"/>
        </w:r>
        <w:r>
          <w:rPr>
            <w:lang w:val="zh-CN"/>
          </w:rPr>
          <w:t>2</w:t>
        </w:r>
        <w:r>
          <w:fldChar w:fldCharType="end"/>
        </w:r>
      </w:p>
    </w:sdtContent>
  </w:sdt>
  <w:p w14:paraId="0FFCDA3D">
    <w:pPr>
      <w:pStyle w:val="2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6DC00">
    <w:pPr>
      <w:pStyle w:val="26"/>
      <w:jc w:val="center"/>
      <w:rPr>
        <w:szCs w:val="18"/>
      </w:rP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CE9C52">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109</w:t>
                          </w:r>
                          <w:r>
                            <w:rPr>
                              <w:b/>
                              <w:kern w:val="0"/>
                              <w:szCs w:val="21"/>
                            </w:rPr>
                            <w:fldChar w:fldCharType="end"/>
                          </w:r>
                          <w:r>
                            <w:rPr>
                              <w:b/>
                              <w:kern w:val="0"/>
                              <w:szCs w:val="21"/>
                            </w:rPr>
                            <w:t xml:space="preserve"> </w:t>
                          </w:r>
                          <w:r>
                            <w:rPr>
                              <w:kern w:val="0"/>
                              <w:szCs w:val="21"/>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48CE9C52">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109</w:t>
                    </w:r>
                    <w:r>
                      <w:rPr>
                        <w:b/>
                        <w:kern w:val="0"/>
                        <w:szCs w:val="21"/>
                      </w:rPr>
                      <w:fldChar w:fldCharType="end"/>
                    </w:r>
                    <w:r>
                      <w:rPr>
                        <w:b/>
                        <w:kern w:val="0"/>
                        <w:szCs w:val="21"/>
                      </w:rPr>
                      <w:t xml:space="preserve"> </w:t>
                    </w:r>
                    <w:r>
                      <w:rPr>
                        <w:kern w:val="0"/>
                        <w:szCs w:val="21"/>
                      </w:rPr>
                      <w:t>-</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8651B">
    <w:pPr>
      <w:pStyle w:val="26"/>
      <w:jc w:val="center"/>
      <w:rPr>
        <w:rFonts w:ascii="宋体" w:hAnsi="宋体"/>
        <w:b/>
        <w:szCs w:val="18"/>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636C0">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123</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445636C0">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123</w:t>
                    </w:r>
                    <w:r>
                      <w:rPr>
                        <w:rFonts w:ascii="宋体" w:hAnsi="宋体"/>
                        <w:b/>
                        <w:kern w:val="0"/>
                        <w:szCs w:val="21"/>
                      </w:rPr>
                      <w:fldChar w:fldCharType="end"/>
                    </w:r>
                    <w:r>
                      <w:rPr>
                        <w:rFonts w:ascii="宋体" w:hAnsi="宋体"/>
                        <w:b/>
                        <w:kern w:val="0"/>
                        <w:szCs w:val="21"/>
                      </w:rP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81A4B">
    <w:pPr>
      <w:pStyle w:val="26"/>
      <w:jc w:val="center"/>
      <w:rPr>
        <w:rFonts w:ascii="宋体" w:hAnsi="宋体"/>
        <w:szCs w:val="18"/>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A762B">
                          <w:pPr>
                            <w:pStyle w:val="26"/>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128</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3C1A762B">
                    <w:pPr>
                      <w:pStyle w:val="26"/>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128</w:t>
                    </w:r>
                    <w:r>
                      <w:rPr>
                        <w:rFonts w:ascii="宋体" w:hAnsi="宋体"/>
                        <w:b/>
                        <w:kern w:val="0"/>
                        <w:szCs w:val="21"/>
                      </w:rPr>
                      <w:fldChar w:fldCharType="end"/>
                    </w:r>
                    <w:r>
                      <w:rPr>
                        <w:rFonts w:ascii="宋体" w:hAnsi="宋体"/>
                        <w:b/>
                        <w:kern w:val="0"/>
                        <w:szCs w:val="21"/>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0C0D8">
    <w:pPr>
      <w:pStyle w:val="26"/>
      <w:jc w:val="center"/>
      <w:rPr>
        <w:rFonts w:ascii="宋体" w:hAnsi="宋体"/>
        <w:b/>
        <w:szCs w:val="18"/>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3DDC8">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136</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12D3DDC8">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136</w:t>
                    </w:r>
                    <w:r>
                      <w:rPr>
                        <w:rFonts w:ascii="宋体" w:hAnsi="宋体"/>
                        <w:b/>
                        <w:kern w:val="0"/>
                        <w:szCs w:val="21"/>
                      </w:rPr>
                      <w:fldChar w:fldCharType="end"/>
                    </w:r>
                    <w:r>
                      <w:rPr>
                        <w:rFonts w:ascii="宋体" w:hAnsi="宋体"/>
                        <w:b/>
                        <w:kern w:val="0"/>
                        <w:szCs w:val="21"/>
                      </w:rP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B2153">
    <w:pPr>
      <w:pStyle w:val="26"/>
      <w:jc w:val="center"/>
      <w:rPr>
        <w:b/>
        <w:szCs w:val="18"/>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44ADA1">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143</w:t>
                          </w:r>
                          <w:r>
                            <w:rPr>
                              <w:b/>
                              <w:kern w:val="0"/>
                              <w:szCs w:val="21"/>
                            </w:rPr>
                            <w:fldChar w:fldCharType="end"/>
                          </w:r>
                          <w:r>
                            <w:rPr>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14:paraId="7E44ADA1">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143</w:t>
                    </w:r>
                    <w:r>
                      <w:rPr>
                        <w:b/>
                        <w:kern w:val="0"/>
                        <w:szCs w:val="21"/>
                      </w:rPr>
                      <w:fldChar w:fldCharType="end"/>
                    </w:r>
                    <w:r>
                      <w:rPr>
                        <w:b/>
                        <w:kern w:val="0"/>
                        <w:szCs w:val="21"/>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1EB43">
    <w:pPr>
      <w:pStyle w:val="27"/>
    </w:pPr>
    <w:r>
      <w:pict>
        <v:shape id="WordPictureWatermark23652685" o:spid="_x0000_s4097" o:spt="75" type="#_x0000_t75" style="position:absolute;left:0pt;height:648.65pt;width:458.4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1F10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453F9">
    <w:pPr>
      <w:pStyle w:val="27"/>
    </w:pPr>
    <w:r>
      <w:pict>
        <v:shape id="WordPictureWatermark23652688" o:spid="_x0000_s4099" o:spt="75" type="#_x0000_t75" style="position:absolute;left:0pt;height:648.65pt;width:458.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006EE">
    <w:pPr>
      <w:pStyle w:val="27"/>
      <w:jc w:val="both"/>
      <w:rPr>
        <w:rFonts w:ascii="宋体" w:hAnsi="宋体"/>
      </w:rPr>
    </w:pPr>
    <w:r>
      <w:rPr>
        <w:rFonts w:ascii="宋体" w:hAnsi="宋体"/>
        <w:b/>
        <w:bCs/>
      </w:rPr>
      <w:pict>
        <v:shape id="WordPictureWatermark23652687" o:spid="_x0000_s4098" o:spt="75" type="#_x0000_t75" style="position:absolute;left:0pt;height:648.65pt;width:458.4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背景"/>
          <o:lock v:ext="edit" aspectratio="t"/>
        </v:shape>
      </w:pict>
    </w:r>
    <w:r>
      <w:rPr>
        <w:rFonts w:hint="eastAsia" w:ascii="宋体" w:hAnsi="宋体"/>
        <w:b/>
        <w:bCs/>
      </w:rPr>
      <w:t>长春净月高新技术产业开发区市政市容管理处泵站运行管理管理服务采购                        JZCG2015-1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0C007">
    <w:pPr>
      <w:pStyle w:val="27"/>
    </w:pPr>
    <w:r>
      <w:pict>
        <v:shape id="WordPictureWatermark23652694" o:spid="_x0000_s4101" o:spt="75" type="#_x0000_t75" style="position:absolute;left:0pt;height:648.65pt;width:458.4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5D666">
    <w:pPr>
      <w:pStyle w:val="27"/>
    </w:pPr>
    <w:r>
      <w:pict>
        <v:shape id="WordPictureWatermark23652693" o:spid="_x0000_s4100" o:spt="75" type="#_x0000_t75" style="position:absolute;left:0pt;height:648.65pt;width:458.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BA114"/>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DBC12">
    <w:pPr>
      <w:pStyle w:val="27"/>
    </w:pPr>
    <w:r>
      <w:pict>
        <v:shape id="WordPictureWatermark23652697" o:spid="_x0000_s4103" o:spt="75" type="#_x0000_t75" style="position:absolute;left:0pt;height:648.65pt;width:458.4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23536">
    <w:pPr>
      <w:pStyle w:val="27"/>
    </w:pPr>
    <w:r>
      <w:pict>
        <v:shape id="WordPictureWatermark23652696" o:spid="_x0000_s4102" o:spt="75" type="#_x0000_t75" style="position:absolute;left:0pt;height:648.65pt;width:458.4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7685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FB6D0">
    <w:pPr>
      <w:pStyle w:val="27"/>
    </w:pPr>
    <w:r>
      <w:pict>
        <v:shape id="WordPictureWatermark23652700" o:spid="_x0000_s4105" o:spt="75" type="#_x0000_t75" style="position:absolute;left:0pt;height:648.65pt;width:458.45pt;mso-position-horizontal:center;mso-position-horizontal-relative:margin;mso-position-vertical:center;mso-position-vertical-relative:margin;z-index:-251649024;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01971">
    <w:pPr>
      <w:pStyle w:val="27"/>
    </w:pPr>
    <w:r>
      <w:pict>
        <v:shape id="WordPictureWatermark23652699" o:spid="_x0000_s4104" o:spt="75" type="#_x0000_t75" style="position:absolute;left:0pt;height:648.65pt;width:458.45pt;mso-position-horizontal:center;mso-position-horizontal-relative:margin;mso-position-vertical:center;mso-position-vertical-relative:margin;z-index:-251650048;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9AF07">
    <w:pPr>
      <w:pStyle w:val="27"/>
    </w:pPr>
    <w:r>
      <w:pict>
        <v:shape id="WordPictureWatermark23652709" o:spid="_x0000_s4107" o:spt="75" type="#_x0000_t75" style="position:absolute;left:0pt;height:648.65pt;width:458.45pt;mso-position-horizontal:center;mso-position-horizontal-relative:margin;mso-position-vertical:center;mso-position-vertical-relative:margin;z-index:-251646976;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0EB5D">
    <w:r>
      <w:pict>
        <v:shape id="WordPictureWatermark23652708" o:spid="_x0000_s4106" o:spt="75" type="#_x0000_t75" style="position:absolute;left:0pt;height:648.65pt;width:458.45pt;mso-position-horizontal:center;mso-position-horizontal-relative:margin;mso-position-vertical:center;mso-position-vertical-relative:margin;z-index:-251648000;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59BCE0"/>
    <w:multiLevelType w:val="singleLevel"/>
    <w:tmpl w:val="9559BCE0"/>
    <w:lvl w:ilvl="0" w:tentative="0">
      <w:start w:val="1"/>
      <w:numFmt w:val="chineseCounting"/>
      <w:suff w:val="space"/>
      <w:lvlText w:val="%1、"/>
      <w:lvlJc w:val="left"/>
      <w:rPr>
        <w:rFonts w:hint="eastAsia"/>
      </w:rPr>
    </w:lvl>
  </w:abstractNum>
  <w:abstractNum w:abstractNumId="1">
    <w:nsid w:val="BF6BC116"/>
    <w:multiLevelType w:val="singleLevel"/>
    <w:tmpl w:val="BF6BC116"/>
    <w:lvl w:ilvl="0" w:tentative="0">
      <w:start w:val="16"/>
      <w:numFmt w:val="decimal"/>
      <w:suff w:val="space"/>
      <w:lvlText w:val="%1."/>
      <w:lvlJc w:val="left"/>
    </w:lvl>
  </w:abstractNum>
  <w:abstractNum w:abstractNumId="2">
    <w:nsid w:val="CFE7C3F8"/>
    <w:multiLevelType w:val="singleLevel"/>
    <w:tmpl w:val="CFE7C3F8"/>
    <w:lvl w:ilvl="0" w:tentative="0">
      <w:start w:val="1"/>
      <w:numFmt w:val="decimal"/>
      <w:suff w:val="nothing"/>
      <w:lvlText w:val="（%1）"/>
      <w:lvlJc w:val="left"/>
    </w:lvl>
  </w:abstractNum>
  <w:abstractNum w:abstractNumId="3">
    <w:nsid w:val="DDECD3BC"/>
    <w:multiLevelType w:val="singleLevel"/>
    <w:tmpl w:val="DDECD3BC"/>
    <w:lvl w:ilvl="0" w:tentative="0">
      <w:start w:val="6"/>
      <w:numFmt w:val="decimal"/>
      <w:suff w:val="space"/>
      <w:lvlText w:val="%1."/>
      <w:lvlJc w:val="left"/>
    </w:lvl>
  </w:abstractNum>
  <w:abstractNum w:abstractNumId="4">
    <w:nsid w:val="DE759F4B"/>
    <w:multiLevelType w:val="singleLevel"/>
    <w:tmpl w:val="DE759F4B"/>
    <w:lvl w:ilvl="0" w:tentative="0">
      <w:start w:val="2"/>
      <w:numFmt w:val="decimal"/>
      <w:suff w:val="space"/>
      <w:lvlText w:val="%1."/>
      <w:lvlJc w:val="left"/>
    </w:lvl>
  </w:abstractNum>
  <w:abstractNum w:abstractNumId="5">
    <w:nsid w:val="DEABE1DB"/>
    <w:multiLevelType w:val="singleLevel"/>
    <w:tmpl w:val="DEABE1DB"/>
    <w:lvl w:ilvl="0" w:tentative="0">
      <w:start w:val="23"/>
      <w:numFmt w:val="decimal"/>
      <w:suff w:val="space"/>
      <w:lvlText w:val="%1."/>
      <w:lvlJc w:val="left"/>
    </w:lvl>
  </w:abstractNum>
  <w:abstractNum w:abstractNumId="6">
    <w:nsid w:val="F9F2F561"/>
    <w:multiLevelType w:val="singleLevel"/>
    <w:tmpl w:val="F9F2F561"/>
    <w:lvl w:ilvl="0" w:tentative="0">
      <w:start w:val="1"/>
      <w:numFmt w:val="decimal"/>
      <w:lvlText w:val="(%1)"/>
      <w:lvlJc w:val="left"/>
      <w:pPr>
        <w:tabs>
          <w:tab w:val="left" w:pos="312"/>
        </w:tabs>
      </w:pPr>
    </w:lvl>
  </w:abstractNum>
  <w:abstractNum w:abstractNumId="7">
    <w:nsid w:val="FFEFC674"/>
    <w:multiLevelType w:val="singleLevel"/>
    <w:tmpl w:val="FFEFC674"/>
    <w:lvl w:ilvl="0" w:tentative="0">
      <w:start w:val="1"/>
      <w:numFmt w:val="decimal"/>
      <w:suff w:val="nothing"/>
      <w:lvlText w:val="（%1）"/>
      <w:lvlJc w:val="left"/>
    </w:lvl>
  </w:abstractNum>
  <w:abstractNum w:abstractNumId="8">
    <w:nsid w:val="18AD5A8A"/>
    <w:multiLevelType w:val="multilevel"/>
    <w:tmpl w:val="18AD5A8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45A17A5"/>
    <w:multiLevelType w:val="multilevel"/>
    <w:tmpl w:val="345A17A5"/>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4"/>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7"/>
      <w:lvlText w:val="           "/>
      <w:lvlJc w:val="left"/>
      <w:pPr>
        <w:tabs>
          <w:tab w:val="left" w:pos="1440"/>
        </w:tabs>
        <w:ind w:left="1152" w:hanging="1152"/>
      </w:pPr>
      <w:rPr>
        <w:rFonts w:hint="eastAsia"/>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11">
    <w:nsid w:val="640011BD"/>
    <w:multiLevelType w:val="multilevel"/>
    <w:tmpl w:val="640011BD"/>
    <w:lvl w:ilvl="0" w:tentative="0">
      <w:start w:val="1"/>
      <w:numFmt w:val="japaneseCounting"/>
      <w:pStyle w:val="72"/>
      <w:lvlText w:val="%1、"/>
      <w:lvlJc w:val="left"/>
      <w:pPr>
        <w:tabs>
          <w:tab w:val="left" w:pos="570"/>
        </w:tabs>
        <w:ind w:left="570" w:hanging="570"/>
      </w:pPr>
      <w:rPr>
        <w:rFonts w:hint="eastAsia" w:asci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6F531E47"/>
    <w:multiLevelType w:val="multilevel"/>
    <w:tmpl w:val="6F531E4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4553FAA"/>
    <w:multiLevelType w:val="multilevel"/>
    <w:tmpl w:val="74553FAA"/>
    <w:lvl w:ilvl="0" w:tentative="0">
      <w:start w:val="1"/>
      <w:numFmt w:val="decimal"/>
      <w:lvlText w:val="%1."/>
      <w:lvlJc w:val="left"/>
      <w:pPr>
        <w:tabs>
          <w:tab w:val="left" w:pos="425"/>
        </w:tabs>
        <w:ind w:left="425" w:hanging="425"/>
      </w:pPr>
      <w:rPr>
        <w:rFonts w:hint="eastAsia"/>
      </w:rPr>
    </w:lvl>
    <w:lvl w:ilvl="1" w:tentative="0">
      <w:start w:val="1"/>
      <w:numFmt w:val="decimal"/>
      <w:pStyle w:val="51"/>
      <w:lvlText w:val="1.%2."/>
      <w:lvlJc w:val="left"/>
      <w:pPr>
        <w:tabs>
          <w:tab w:val="left" w:pos="720"/>
        </w:tabs>
        <w:ind w:left="567" w:hanging="567"/>
      </w:pPr>
      <w:rPr>
        <w:rFonts w:hint="eastAsia"/>
      </w:rPr>
    </w:lvl>
    <w:lvl w:ilvl="2" w:tentative="0">
      <w:start w:val="1"/>
      <w:numFmt w:val="decimal"/>
      <w:lvlText w:val="%1.%2.%3."/>
      <w:lvlJc w:val="left"/>
      <w:pPr>
        <w:tabs>
          <w:tab w:val="left" w:pos="1080"/>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4">
    <w:nsid w:val="7A0F6431"/>
    <w:multiLevelType w:val="singleLevel"/>
    <w:tmpl w:val="7A0F6431"/>
    <w:lvl w:ilvl="0" w:tentative="0">
      <w:start w:val="1"/>
      <w:numFmt w:val="decimal"/>
      <w:suff w:val="space"/>
      <w:lvlText w:val="%1."/>
      <w:lvlJc w:val="left"/>
    </w:lvl>
  </w:abstractNum>
  <w:num w:numId="1">
    <w:abstractNumId w:val="10"/>
  </w:num>
  <w:num w:numId="2">
    <w:abstractNumId w:val="13"/>
  </w:num>
  <w:num w:numId="3">
    <w:abstractNumId w:val="11"/>
  </w:num>
  <w:num w:numId="4">
    <w:abstractNumId w:val="8"/>
  </w:num>
  <w:num w:numId="5">
    <w:abstractNumId w:val="6"/>
  </w:num>
  <w:num w:numId="6">
    <w:abstractNumId w:val="14"/>
  </w:num>
  <w:num w:numId="7">
    <w:abstractNumId w:val="2"/>
  </w:num>
  <w:num w:numId="8">
    <w:abstractNumId w:val="7"/>
  </w:num>
  <w:num w:numId="9">
    <w:abstractNumId w:val="4"/>
  </w:num>
  <w:num w:numId="10">
    <w:abstractNumId w:val="3"/>
  </w:num>
  <w:num w:numId="11">
    <w:abstractNumId w:val="1"/>
  </w:num>
  <w:num w:numId="12">
    <w:abstractNumId w:val="5"/>
  </w:num>
  <w:num w:numId="13">
    <w:abstractNumId w:val="0"/>
  </w:num>
  <w:num w:numId="14">
    <w:abstractNumId w:val="1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C9B"/>
    <w:rsid w:val="000016C8"/>
    <w:rsid w:val="0000253D"/>
    <w:rsid w:val="00003672"/>
    <w:rsid w:val="00003E92"/>
    <w:rsid w:val="000065C8"/>
    <w:rsid w:val="000069B9"/>
    <w:rsid w:val="00006A13"/>
    <w:rsid w:val="00006E5C"/>
    <w:rsid w:val="000078E1"/>
    <w:rsid w:val="0000795E"/>
    <w:rsid w:val="00007DFA"/>
    <w:rsid w:val="00010D0E"/>
    <w:rsid w:val="00011423"/>
    <w:rsid w:val="00011462"/>
    <w:rsid w:val="000118A1"/>
    <w:rsid w:val="00011A6E"/>
    <w:rsid w:val="00011EBC"/>
    <w:rsid w:val="00012715"/>
    <w:rsid w:val="00012EF8"/>
    <w:rsid w:val="00014AB0"/>
    <w:rsid w:val="000150B6"/>
    <w:rsid w:val="000169E9"/>
    <w:rsid w:val="00017C66"/>
    <w:rsid w:val="00020A84"/>
    <w:rsid w:val="00020AE1"/>
    <w:rsid w:val="00020CD5"/>
    <w:rsid w:val="00020D41"/>
    <w:rsid w:val="00020EB4"/>
    <w:rsid w:val="0002353A"/>
    <w:rsid w:val="00023B79"/>
    <w:rsid w:val="00023DA2"/>
    <w:rsid w:val="00023FAD"/>
    <w:rsid w:val="00024351"/>
    <w:rsid w:val="000245C0"/>
    <w:rsid w:val="00024DD0"/>
    <w:rsid w:val="00025A9A"/>
    <w:rsid w:val="0002677B"/>
    <w:rsid w:val="0002728A"/>
    <w:rsid w:val="0002731B"/>
    <w:rsid w:val="00027DDB"/>
    <w:rsid w:val="000300C8"/>
    <w:rsid w:val="00030CAC"/>
    <w:rsid w:val="0003307C"/>
    <w:rsid w:val="0003391C"/>
    <w:rsid w:val="00033F14"/>
    <w:rsid w:val="000341B1"/>
    <w:rsid w:val="000347A4"/>
    <w:rsid w:val="0003495F"/>
    <w:rsid w:val="000355E5"/>
    <w:rsid w:val="00036622"/>
    <w:rsid w:val="000372D6"/>
    <w:rsid w:val="0003764E"/>
    <w:rsid w:val="00037DB7"/>
    <w:rsid w:val="00037E27"/>
    <w:rsid w:val="00037E8F"/>
    <w:rsid w:val="0004070C"/>
    <w:rsid w:val="000413F8"/>
    <w:rsid w:val="00041FBE"/>
    <w:rsid w:val="0004343C"/>
    <w:rsid w:val="00043824"/>
    <w:rsid w:val="00044821"/>
    <w:rsid w:val="000467B8"/>
    <w:rsid w:val="00046E85"/>
    <w:rsid w:val="00047A4C"/>
    <w:rsid w:val="00050FB1"/>
    <w:rsid w:val="00051615"/>
    <w:rsid w:val="00051894"/>
    <w:rsid w:val="000557D2"/>
    <w:rsid w:val="00055824"/>
    <w:rsid w:val="00055A45"/>
    <w:rsid w:val="00056CC0"/>
    <w:rsid w:val="00062641"/>
    <w:rsid w:val="000643FC"/>
    <w:rsid w:val="00064C2B"/>
    <w:rsid w:val="00064D8B"/>
    <w:rsid w:val="00065503"/>
    <w:rsid w:val="00065BB1"/>
    <w:rsid w:val="00066E38"/>
    <w:rsid w:val="0006792D"/>
    <w:rsid w:val="00067A98"/>
    <w:rsid w:val="0007021C"/>
    <w:rsid w:val="00071892"/>
    <w:rsid w:val="000727C7"/>
    <w:rsid w:val="0007484F"/>
    <w:rsid w:val="00074992"/>
    <w:rsid w:val="000751DC"/>
    <w:rsid w:val="00075D13"/>
    <w:rsid w:val="00075FF3"/>
    <w:rsid w:val="0007606C"/>
    <w:rsid w:val="00076ADF"/>
    <w:rsid w:val="00076FC4"/>
    <w:rsid w:val="00077255"/>
    <w:rsid w:val="000774F8"/>
    <w:rsid w:val="00077C4E"/>
    <w:rsid w:val="000807D2"/>
    <w:rsid w:val="00081C04"/>
    <w:rsid w:val="000835FA"/>
    <w:rsid w:val="00083D83"/>
    <w:rsid w:val="00084191"/>
    <w:rsid w:val="000843FF"/>
    <w:rsid w:val="000846F0"/>
    <w:rsid w:val="00084CD7"/>
    <w:rsid w:val="000850F6"/>
    <w:rsid w:val="00085BED"/>
    <w:rsid w:val="00085D8A"/>
    <w:rsid w:val="00085E74"/>
    <w:rsid w:val="00085F13"/>
    <w:rsid w:val="00087122"/>
    <w:rsid w:val="0008730D"/>
    <w:rsid w:val="00087CFE"/>
    <w:rsid w:val="0009261A"/>
    <w:rsid w:val="0009409C"/>
    <w:rsid w:val="00096EAB"/>
    <w:rsid w:val="00097C5E"/>
    <w:rsid w:val="000A07A1"/>
    <w:rsid w:val="000A2150"/>
    <w:rsid w:val="000A2214"/>
    <w:rsid w:val="000A26D2"/>
    <w:rsid w:val="000A3833"/>
    <w:rsid w:val="000A3FD5"/>
    <w:rsid w:val="000A4712"/>
    <w:rsid w:val="000A4C28"/>
    <w:rsid w:val="000A573E"/>
    <w:rsid w:val="000A5CE1"/>
    <w:rsid w:val="000A5D0A"/>
    <w:rsid w:val="000A756A"/>
    <w:rsid w:val="000B02FE"/>
    <w:rsid w:val="000B072F"/>
    <w:rsid w:val="000B0C3D"/>
    <w:rsid w:val="000B1AEF"/>
    <w:rsid w:val="000B2D95"/>
    <w:rsid w:val="000B4081"/>
    <w:rsid w:val="000B4525"/>
    <w:rsid w:val="000B4B8A"/>
    <w:rsid w:val="000B55EB"/>
    <w:rsid w:val="000B57F1"/>
    <w:rsid w:val="000B62C8"/>
    <w:rsid w:val="000B6858"/>
    <w:rsid w:val="000C06DC"/>
    <w:rsid w:val="000C2A87"/>
    <w:rsid w:val="000C3373"/>
    <w:rsid w:val="000C4539"/>
    <w:rsid w:val="000C47C1"/>
    <w:rsid w:val="000C4867"/>
    <w:rsid w:val="000C642F"/>
    <w:rsid w:val="000C657B"/>
    <w:rsid w:val="000C73E2"/>
    <w:rsid w:val="000C79EA"/>
    <w:rsid w:val="000D04B6"/>
    <w:rsid w:val="000D13F3"/>
    <w:rsid w:val="000D21C1"/>
    <w:rsid w:val="000D229F"/>
    <w:rsid w:val="000D28BD"/>
    <w:rsid w:val="000D3763"/>
    <w:rsid w:val="000D3EBD"/>
    <w:rsid w:val="000D4471"/>
    <w:rsid w:val="000D497F"/>
    <w:rsid w:val="000D4B51"/>
    <w:rsid w:val="000D530B"/>
    <w:rsid w:val="000D5BE5"/>
    <w:rsid w:val="000D6946"/>
    <w:rsid w:val="000D697E"/>
    <w:rsid w:val="000D6A58"/>
    <w:rsid w:val="000D6BB0"/>
    <w:rsid w:val="000E08A0"/>
    <w:rsid w:val="000E1888"/>
    <w:rsid w:val="000E2392"/>
    <w:rsid w:val="000E358E"/>
    <w:rsid w:val="000E36B8"/>
    <w:rsid w:val="000E39B3"/>
    <w:rsid w:val="000E530B"/>
    <w:rsid w:val="000E734E"/>
    <w:rsid w:val="000F0B30"/>
    <w:rsid w:val="000F10E3"/>
    <w:rsid w:val="000F19EA"/>
    <w:rsid w:val="000F2B9E"/>
    <w:rsid w:val="000F2E4C"/>
    <w:rsid w:val="000F47DC"/>
    <w:rsid w:val="000F484F"/>
    <w:rsid w:val="000F539A"/>
    <w:rsid w:val="000F6C5A"/>
    <w:rsid w:val="000F70C8"/>
    <w:rsid w:val="000F73B2"/>
    <w:rsid w:val="000F7BB7"/>
    <w:rsid w:val="00100193"/>
    <w:rsid w:val="00100B66"/>
    <w:rsid w:val="0010213E"/>
    <w:rsid w:val="001032D0"/>
    <w:rsid w:val="00105317"/>
    <w:rsid w:val="00105A5D"/>
    <w:rsid w:val="00106CD8"/>
    <w:rsid w:val="00110014"/>
    <w:rsid w:val="00110401"/>
    <w:rsid w:val="0011189E"/>
    <w:rsid w:val="001126CB"/>
    <w:rsid w:val="00114A24"/>
    <w:rsid w:val="00115077"/>
    <w:rsid w:val="00115549"/>
    <w:rsid w:val="00115787"/>
    <w:rsid w:val="00116208"/>
    <w:rsid w:val="001200F6"/>
    <w:rsid w:val="001201CC"/>
    <w:rsid w:val="00120563"/>
    <w:rsid w:val="00120870"/>
    <w:rsid w:val="00120E9A"/>
    <w:rsid w:val="00120ECD"/>
    <w:rsid w:val="001216D7"/>
    <w:rsid w:val="00121944"/>
    <w:rsid w:val="00121F37"/>
    <w:rsid w:val="00123509"/>
    <w:rsid w:val="001238E9"/>
    <w:rsid w:val="00124238"/>
    <w:rsid w:val="001246DC"/>
    <w:rsid w:val="001247D4"/>
    <w:rsid w:val="00125B3D"/>
    <w:rsid w:val="00125F75"/>
    <w:rsid w:val="001262A4"/>
    <w:rsid w:val="0012745D"/>
    <w:rsid w:val="001309B7"/>
    <w:rsid w:val="00131676"/>
    <w:rsid w:val="001322E0"/>
    <w:rsid w:val="00133421"/>
    <w:rsid w:val="00133B40"/>
    <w:rsid w:val="001342F7"/>
    <w:rsid w:val="00134DEB"/>
    <w:rsid w:val="00135204"/>
    <w:rsid w:val="00136098"/>
    <w:rsid w:val="001366C5"/>
    <w:rsid w:val="00136BB2"/>
    <w:rsid w:val="00136C2A"/>
    <w:rsid w:val="00136DFE"/>
    <w:rsid w:val="0013742C"/>
    <w:rsid w:val="00137870"/>
    <w:rsid w:val="00137D1C"/>
    <w:rsid w:val="001408CE"/>
    <w:rsid w:val="001409AA"/>
    <w:rsid w:val="00142984"/>
    <w:rsid w:val="0014303A"/>
    <w:rsid w:val="00143121"/>
    <w:rsid w:val="001434F8"/>
    <w:rsid w:val="00143787"/>
    <w:rsid w:val="00143F5D"/>
    <w:rsid w:val="00145A0E"/>
    <w:rsid w:val="00145CD4"/>
    <w:rsid w:val="00145FE1"/>
    <w:rsid w:val="001464B9"/>
    <w:rsid w:val="00146C45"/>
    <w:rsid w:val="0014793E"/>
    <w:rsid w:val="00150030"/>
    <w:rsid w:val="0015032C"/>
    <w:rsid w:val="0015045C"/>
    <w:rsid w:val="00150F8A"/>
    <w:rsid w:val="00151AF7"/>
    <w:rsid w:val="00152602"/>
    <w:rsid w:val="00154ADB"/>
    <w:rsid w:val="001550F3"/>
    <w:rsid w:val="0015614C"/>
    <w:rsid w:val="00156229"/>
    <w:rsid w:val="001600A3"/>
    <w:rsid w:val="001601F3"/>
    <w:rsid w:val="001611F3"/>
    <w:rsid w:val="001617A3"/>
    <w:rsid w:val="00161C24"/>
    <w:rsid w:val="00162363"/>
    <w:rsid w:val="00163E9D"/>
    <w:rsid w:val="00164233"/>
    <w:rsid w:val="0016440D"/>
    <w:rsid w:val="0016481D"/>
    <w:rsid w:val="00164A5F"/>
    <w:rsid w:val="00165B65"/>
    <w:rsid w:val="001660D5"/>
    <w:rsid w:val="00166499"/>
    <w:rsid w:val="001671D0"/>
    <w:rsid w:val="001703ED"/>
    <w:rsid w:val="0017040F"/>
    <w:rsid w:val="00171006"/>
    <w:rsid w:val="001719E7"/>
    <w:rsid w:val="00172A27"/>
    <w:rsid w:val="0017333C"/>
    <w:rsid w:val="001744D6"/>
    <w:rsid w:val="00174D83"/>
    <w:rsid w:val="00175B1B"/>
    <w:rsid w:val="0017674A"/>
    <w:rsid w:val="001768E2"/>
    <w:rsid w:val="00176D76"/>
    <w:rsid w:val="0017712B"/>
    <w:rsid w:val="0017752C"/>
    <w:rsid w:val="00180313"/>
    <w:rsid w:val="00180B3D"/>
    <w:rsid w:val="00180E93"/>
    <w:rsid w:val="00181006"/>
    <w:rsid w:val="0018180B"/>
    <w:rsid w:val="00181B84"/>
    <w:rsid w:val="00183C87"/>
    <w:rsid w:val="00183D69"/>
    <w:rsid w:val="00184294"/>
    <w:rsid w:val="00184A4E"/>
    <w:rsid w:val="00185419"/>
    <w:rsid w:val="001859C9"/>
    <w:rsid w:val="00185F72"/>
    <w:rsid w:val="00186DE0"/>
    <w:rsid w:val="00186F56"/>
    <w:rsid w:val="001873AF"/>
    <w:rsid w:val="0018763E"/>
    <w:rsid w:val="00190728"/>
    <w:rsid w:val="001907B7"/>
    <w:rsid w:val="00190A71"/>
    <w:rsid w:val="00191C80"/>
    <w:rsid w:val="001925F7"/>
    <w:rsid w:val="00195417"/>
    <w:rsid w:val="0019599A"/>
    <w:rsid w:val="001975FE"/>
    <w:rsid w:val="001A0137"/>
    <w:rsid w:val="001A0406"/>
    <w:rsid w:val="001A0930"/>
    <w:rsid w:val="001A0C78"/>
    <w:rsid w:val="001A0F26"/>
    <w:rsid w:val="001A0FA1"/>
    <w:rsid w:val="001A1416"/>
    <w:rsid w:val="001A1DFB"/>
    <w:rsid w:val="001A2562"/>
    <w:rsid w:val="001A3597"/>
    <w:rsid w:val="001A4563"/>
    <w:rsid w:val="001A4946"/>
    <w:rsid w:val="001A4E8B"/>
    <w:rsid w:val="001A579F"/>
    <w:rsid w:val="001A6F68"/>
    <w:rsid w:val="001A7838"/>
    <w:rsid w:val="001B00E4"/>
    <w:rsid w:val="001B1241"/>
    <w:rsid w:val="001B1F4F"/>
    <w:rsid w:val="001B2878"/>
    <w:rsid w:val="001B3A52"/>
    <w:rsid w:val="001B3E98"/>
    <w:rsid w:val="001B523E"/>
    <w:rsid w:val="001B5670"/>
    <w:rsid w:val="001B5767"/>
    <w:rsid w:val="001B5ED6"/>
    <w:rsid w:val="001B680A"/>
    <w:rsid w:val="001B6E45"/>
    <w:rsid w:val="001B7052"/>
    <w:rsid w:val="001B76BF"/>
    <w:rsid w:val="001C0127"/>
    <w:rsid w:val="001C0331"/>
    <w:rsid w:val="001C0527"/>
    <w:rsid w:val="001C0BA0"/>
    <w:rsid w:val="001C0F47"/>
    <w:rsid w:val="001C232E"/>
    <w:rsid w:val="001C2357"/>
    <w:rsid w:val="001C254A"/>
    <w:rsid w:val="001C293A"/>
    <w:rsid w:val="001C3D6E"/>
    <w:rsid w:val="001C4724"/>
    <w:rsid w:val="001C4876"/>
    <w:rsid w:val="001C48AD"/>
    <w:rsid w:val="001C5018"/>
    <w:rsid w:val="001C5257"/>
    <w:rsid w:val="001C52CA"/>
    <w:rsid w:val="001C5459"/>
    <w:rsid w:val="001C565D"/>
    <w:rsid w:val="001C5DE0"/>
    <w:rsid w:val="001C60F7"/>
    <w:rsid w:val="001C69B4"/>
    <w:rsid w:val="001C71D4"/>
    <w:rsid w:val="001C75C6"/>
    <w:rsid w:val="001D0478"/>
    <w:rsid w:val="001D1E8E"/>
    <w:rsid w:val="001D2A6E"/>
    <w:rsid w:val="001D2D70"/>
    <w:rsid w:val="001D34DD"/>
    <w:rsid w:val="001D3B01"/>
    <w:rsid w:val="001D3D79"/>
    <w:rsid w:val="001D4CB5"/>
    <w:rsid w:val="001D5A93"/>
    <w:rsid w:val="001D60A7"/>
    <w:rsid w:val="001D667D"/>
    <w:rsid w:val="001D6D48"/>
    <w:rsid w:val="001D7110"/>
    <w:rsid w:val="001D77A2"/>
    <w:rsid w:val="001E09C4"/>
    <w:rsid w:val="001E11E0"/>
    <w:rsid w:val="001E16BC"/>
    <w:rsid w:val="001E1769"/>
    <w:rsid w:val="001E2C48"/>
    <w:rsid w:val="001E2F64"/>
    <w:rsid w:val="001E37A0"/>
    <w:rsid w:val="001E3CCF"/>
    <w:rsid w:val="001E43CF"/>
    <w:rsid w:val="001E4D80"/>
    <w:rsid w:val="001E4DCA"/>
    <w:rsid w:val="001E4DEA"/>
    <w:rsid w:val="001E4DED"/>
    <w:rsid w:val="001E52DF"/>
    <w:rsid w:val="001E534E"/>
    <w:rsid w:val="001E6873"/>
    <w:rsid w:val="001E69E6"/>
    <w:rsid w:val="001E6E72"/>
    <w:rsid w:val="001E7AA1"/>
    <w:rsid w:val="001F0908"/>
    <w:rsid w:val="001F102B"/>
    <w:rsid w:val="001F1262"/>
    <w:rsid w:val="001F2047"/>
    <w:rsid w:val="001F3E39"/>
    <w:rsid w:val="001F48FA"/>
    <w:rsid w:val="001F57A2"/>
    <w:rsid w:val="001F5C30"/>
    <w:rsid w:val="001F7323"/>
    <w:rsid w:val="001F7A67"/>
    <w:rsid w:val="002001F6"/>
    <w:rsid w:val="00200E6C"/>
    <w:rsid w:val="00201D30"/>
    <w:rsid w:val="002021CA"/>
    <w:rsid w:val="00203269"/>
    <w:rsid w:val="00204139"/>
    <w:rsid w:val="00204AD9"/>
    <w:rsid w:val="0020742D"/>
    <w:rsid w:val="00207CBB"/>
    <w:rsid w:val="00210789"/>
    <w:rsid w:val="00211714"/>
    <w:rsid w:val="00212158"/>
    <w:rsid w:val="0021327F"/>
    <w:rsid w:val="002138D8"/>
    <w:rsid w:val="00214524"/>
    <w:rsid w:val="00214DFA"/>
    <w:rsid w:val="0021557A"/>
    <w:rsid w:val="00216586"/>
    <w:rsid w:val="00216CC7"/>
    <w:rsid w:val="002170E7"/>
    <w:rsid w:val="00217D5A"/>
    <w:rsid w:val="00220E8D"/>
    <w:rsid w:val="00221256"/>
    <w:rsid w:val="00221588"/>
    <w:rsid w:val="00221749"/>
    <w:rsid w:val="0022191D"/>
    <w:rsid w:val="00221B7C"/>
    <w:rsid w:val="00221FC9"/>
    <w:rsid w:val="00222419"/>
    <w:rsid w:val="00222BB8"/>
    <w:rsid w:val="00222FB3"/>
    <w:rsid w:val="002249C5"/>
    <w:rsid w:val="00224AF4"/>
    <w:rsid w:val="00224E91"/>
    <w:rsid w:val="00226AE7"/>
    <w:rsid w:val="002271CA"/>
    <w:rsid w:val="002300C8"/>
    <w:rsid w:val="002306D5"/>
    <w:rsid w:val="002309A7"/>
    <w:rsid w:val="00230C90"/>
    <w:rsid w:val="002325DF"/>
    <w:rsid w:val="00233B8E"/>
    <w:rsid w:val="00234140"/>
    <w:rsid w:val="00234220"/>
    <w:rsid w:val="00234223"/>
    <w:rsid w:val="00234A4E"/>
    <w:rsid w:val="00234FFF"/>
    <w:rsid w:val="00235831"/>
    <w:rsid w:val="00235E16"/>
    <w:rsid w:val="002364CE"/>
    <w:rsid w:val="00236F41"/>
    <w:rsid w:val="002375EE"/>
    <w:rsid w:val="00237702"/>
    <w:rsid w:val="0024157C"/>
    <w:rsid w:val="002431BE"/>
    <w:rsid w:val="002434B5"/>
    <w:rsid w:val="00243557"/>
    <w:rsid w:val="00243866"/>
    <w:rsid w:val="00244010"/>
    <w:rsid w:val="002446EF"/>
    <w:rsid w:val="00244D8C"/>
    <w:rsid w:val="00244EFE"/>
    <w:rsid w:val="00245689"/>
    <w:rsid w:val="0024603D"/>
    <w:rsid w:val="002460A0"/>
    <w:rsid w:val="00247F77"/>
    <w:rsid w:val="002504F5"/>
    <w:rsid w:val="00252C6B"/>
    <w:rsid w:val="00252F41"/>
    <w:rsid w:val="002537AA"/>
    <w:rsid w:val="002542C1"/>
    <w:rsid w:val="00254EA8"/>
    <w:rsid w:val="002552C5"/>
    <w:rsid w:val="0025594C"/>
    <w:rsid w:val="00255D26"/>
    <w:rsid w:val="00256BD5"/>
    <w:rsid w:val="00256C7A"/>
    <w:rsid w:val="0025782D"/>
    <w:rsid w:val="00257B40"/>
    <w:rsid w:val="0026202B"/>
    <w:rsid w:val="00262584"/>
    <w:rsid w:val="00262AC3"/>
    <w:rsid w:val="00262D62"/>
    <w:rsid w:val="00262EA5"/>
    <w:rsid w:val="00263E46"/>
    <w:rsid w:val="002652E3"/>
    <w:rsid w:val="002678F4"/>
    <w:rsid w:val="00267A75"/>
    <w:rsid w:val="00267B87"/>
    <w:rsid w:val="00271E1F"/>
    <w:rsid w:val="00272CA6"/>
    <w:rsid w:val="0027317E"/>
    <w:rsid w:val="002731D0"/>
    <w:rsid w:val="002743CD"/>
    <w:rsid w:val="00274D4B"/>
    <w:rsid w:val="002754C9"/>
    <w:rsid w:val="0027590C"/>
    <w:rsid w:val="00277D84"/>
    <w:rsid w:val="00280B0A"/>
    <w:rsid w:val="00281288"/>
    <w:rsid w:val="002813A0"/>
    <w:rsid w:val="00281529"/>
    <w:rsid w:val="00282A22"/>
    <w:rsid w:val="00282EA7"/>
    <w:rsid w:val="0028466F"/>
    <w:rsid w:val="002847B1"/>
    <w:rsid w:val="0028544A"/>
    <w:rsid w:val="00285CB4"/>
    <w:rsid w:val="00286027"/>
    <w:rsid w:val="00287114"/>
    <w:rsid w:val="00287557"/>
    <w:rsid w:val="0028760F"/>
    <w:rsid w:val="00287819"/>
    <w:rsid w:val="002879FA"/>
    <w:rsid w:val="0029043F"/>
    <w:rsid w:val="002904FA"/>
    <w:rsid w:val="00290527"/>
    <w:rsid w:val="0029053D"/>
    <w:rsid w:val="00290B0A"/>
    <w:rsid w:val="002921CC"/>
    <w:rsid w:val="002923CC"/>
    <w:rsid w:val="002945BB"/>
    <w:rsid w:val="0029636B"/>
    <w:rsid w:val="00296813"/>
    <w:rsid w:val="002977C2"/>
    <w:rsid w:val="00297F34"/>
    <w:rsid w:val="002A10B1"/>
    <w:rsid w:val="002A249A"/>
    <w:rsid w:val="002A25A6"/>
    <w:rsid w:val="002A43EC"/>
    <w:rsid w:val="002A4CF8"/>
    <w:rsid w:val="002A510D"/>
    <w:rsid w:val="002A607C"/>
    <w:rsid w:val="002A6814"/>
    <w:rsid w:val="002A6AB6"/>
    <w:rsid w:val="002A79D2"/>
    <w:rsid w:val="002A7EAF"/>
    <w:rsid w:val="002B0A28"/>
    <w:rsid w:val="002B0EE0"/>
    <w:rsid w:val="002B1091"/>
    <w:rsid w:val="002B1D02"/>
    <w:rsid w:val="002B3039"/>
    <w:rsid w:val="002B36C5"/>
    <w:rsid w:val="002B3F73"/>
    <w:rsid w:val="002B460F"/>
    <w:rsid w:val="002B47AC"/>
    <w:rsid w:val="002B5BBF"/>
    <w:rsid w:val="002B5E0E"/>
    <w:rsid w:val="002B7176"/>
    <w:rsid w:val="002C013D"/>
    <w:rsid w:val="002C05C3"/>
    <w:rsid w:val="002C069C"/>
    <w:rsid w:val="002C0AB9"/>
    <w:rsid w:val="002C101D"/>
    <w:rsid w:val="002C1F0B"/>
    <w:rsid w:val="002C2F25"/>
    <w:rsid w:val="002C3009"/>
    <w:rsid w:val="002C6576"/>
    <w:rsid w:val="002C711E"/>
    <w:rsid w:val="002C79D1"/>
    <w:rsid w:val="002D0796"/>
    <w:rsid w:val="002D177B"/>
    <w:rsid w:val="002D1A6F"/>
    <w:rsid w:val="002D1CD7"/>
    <w:rsid w:val="002D1F84"/>
    <w:rsid w:val="002D262A"/>
    <w:rsid w:val="002D5285"/>
    <w:rsid w:val="002D58DD"/>
    <w:rsid w:val="002D5A18"/>
    <w:rsid w:val="002D5B23"/>
    <w:rsid w:val="002D68B3"/>
    <w:rsid w:val="002D7B29"/>
    <w:rsid w:val="002E21FC"/>
    <w:rsid w:val="002E27CB"/>
    <w:rsid w:val="002E3BE4"/>
    <w:rsid w:val="002E3C26"/>
    <w:rsid w:val="002E4E79"/>
    <w:rsid w:val="002E528E"/>
    <w:rsid w:val="002E5772"/>
    <w:rsid w:val="002E6CDF"/>
    <w:rsid w:val="002E7606"/>
    <w:rsid w:val="002E7963"/>
    <w:rsid w:val="002F020C"/>
    <w:rsid w:val="002F229E"/>
    <w:rsid w:val="002F2FA8"/>
    <w:rsid w:val="002F37C6"/>
    <w:rsid w:val="002F3DB2"/>
    <w:rsid w:val="002F44CB"/>
    <w:rsid w:val="002F5995"/>
    <w:rsid w:val="002F74FF"/>
    <w:rsid w:val="002F7718"/>
    <w:rsid w:val="002F773D"/>
    <w:rsid w:val="00300648"/>
    <w:rsid w:val="0030073E"/>
    <w:rsid w:val="00301171"/>
    <w:rsid w:val="00301356"/>
    <w:rsid w:val="0030145D"/>
    <w:rsid w:val="00301C40"/>
    <w:rsid w:val="0030218B"/>
    <w:rsid w:val="003024FB"/>
    <w:rsid w:val="003027E0"/>
    <w:rsid w:val="0030446B"/>
    <w:rsid w:val="00304801"/>
    <w:rsid w:val="0030581A"/>
    <w:rsid w:val="00305C07"/>
    <w:rsid w:val="00305C0A"/>
    <w:rsid w:val="0030724F"/>
    <w:rsid w:val="00307E22"/>
    <w:rsid w:val="0031170B"/>
    <w:rsid w:val="00311D4D"/>
    <w:rsid w:val="00311D53"/>
    <w:rsid w:val="00312325"/>
    <w:rsid w:val="00312737"/>
    <w:rsid w:val="00312C54"/>
    <w:rsid w:val="00313B53"/>
    <w:rsid w:val="00313BA6"/>
    <w:rsid w:val="00313DEA"/>
    <w:rsid w:val="0031466F"/>
    <w:rsid w:val="00314B5B"/>
    <w:rsid w:val="00317FAD"/>
    <w:rsid w:val="003208EC"/>
    <w:rsid w:val="00320CC2"/>
    <w:rsid w:val="00320E24"/>
    <w:rsid w:val="00320EBB"/>
    <w:rsid w:val="003234F2"/>
    <w:rsid w:val="003236DF"/>
    <w:rsid w:val="00324583"/>
    <w:rsid w:val="00324821"/>
    <w:rsid w:val="00324B8A"/>
    <w:rsid w:val="0032511B"/>
    <w:rsid w:val="00325587"/>
    <w:rsid w:val="0032700A"/>
    <w:rsid w:val="00327118"/>
    <w:rsid w:val="00327153"/>
    <w:rsid w:val="00327838"/>
    <w:rsid w:val="0033089F"/>
    <w:rsid w:val="003313F2"/>
    <w:rsid w:val="003333D7"/>
    <w:rsid w:val="00333BC1"/>
    <w:rsid w:val="00334CAA"/>
    <w:rsid w:val="00335792"/>
    <w:rsid w:val="00336864"/>
    <w:rsid w:val="0033750D"/>
    <w:rsid w:val="003377ED"/>
    <w:rsid w:val="00340A09"/>
    <w:rsid w:val="00340CBA"/>
    <w:rsid w:val="00341A06"/>
    <w:rsid w:val="00342A86"/>
    <w:rsid w:val="00342B16"/>
    <w:rsid w:val="00342CE7"/>
    <w:rsid w:val="00342DF8"/>
    <w:rsid w:val="00344B0F"/>
    <w:rsid w:val="0034611B"/>
    <w:rsid w:val="0034693A"/>
    <w:rsid w:val="00346C7E"/>
    <w:rsid w:val="00347671"/>
    <w:rsid w:val="00350EBF"/>
    <w:rsid w:val="003512B2"/>
    <w:rsid w:val="00351398"/>
    <w:rsid w:val="003515BE"/>
    <w:rsid w:val="0035166C"/>
    <w:rsid w:val="003518D3"/>
    <w:rsid w:val="003520CD"/>
    <w:rsid w:val="00352B57"/>
    <w:rsid w:val="003543B0"/>
    <w:rsid w:val="00354621"/>
    <w:rsid w:val="00355763"/>
    <w:rsid w:val="003570B5"/>
    <w:rsid w:val="003572C9"/>
    <w:rsid w:val="00357D4B"/>
    <w:rsid w:val="0036101A"/>
    <w:rsid w:val="00361BF7"/>
    <w:rsid w:val="00362027"/>
    <w:rsid w:val="0036251C"/>
    <w:rsid w:val="0036288F"/>
    <w:rsid w:val="00363768"/>
    <w:rsid w:val="00363AD3"/>
    <w:rsid w:val="00364019"/>
    <w:rsid w:val="00364AB1"/>
    <w:rsid w:val="00364C90"/>
    <w:rsid w:val="00365C0A"/>
    <w:rsid w:val="00367538"/>
    <w:rsid w:val="003676BC"/>
    <w:rsid w:val="00370355"/>
    <w:rsid w:val="003709EB"/>
    <w:rsid w:val="00371014"/>
    <w:rsid w:val="003725A7"/>
    <w:rsid w:val="003726DD"/>
    <w:rsid w:val="00373448"/>
    <w:rsid w:val="003749DE"/>
    <w:rsid w:val="00374FD9"/>
    <w:rsid w:val="003759F8"/>
    <w:rsid w:val="00380676"/>
    <w:rsid w:val="003806BB"/>
    <w:rsid w:val="00380931"/>
    <w:rsid w:val="0038094B"/>
    <w:rsid w:val="00381B6A"/>
    <w:rsid w:val="00381FFF"/>
    <w:rsid w:val="0038251B"/>
    <w:rsid w:val="00382D85"/>
    <w:rsid w:val="0038336F"/>
    <w:rsid w:val="00383D9A"/>
    <w:rsid w:val="00384351"/>
    <w:rsid w:val="0038489D"/>
    <w:rsid w:val="003851B7"/>
    <w:rsid w:val="003852AF"/>
    <w:rsid w:val="003852BA"/>
    <w:rsid w:val="0038593B"/>
    <w:rsid w:val="00385B4E"/>
    <w:rsid w:val="003863DD"/>
    <w:rsid w:val="00386E63"/>
    <w:rsid w:val="00386F39"/>
    <w:rsid w:val="00387383"/>
    <w:rsid w:val="00387501"/>
    <w:rsid w:val="00387541"/>
    <w:rsid w:val="003875AA"/>
    <w:rsid w:val="003875E3"/>
    <w:rsid w:val="00387729"/>
    <w:rsid w:val="00387D9E"/>
    <w:rsid w:val="0039023C"/>
    <w:rsid w:val="0039036A"/>
    <w:rsid w:val="00390A3F"/>
    <w:rsid w:val="00390B2C"/>
    <w:rsid w:val="0039135D"/>
    <w:rsid w:val="00391979"/>
    <w:rsid w:val="00391D6D"/>
    <w:rsid w:val="00392219"/>
    <w:rsid w:val="00393E5B"/>
    <w:rsid w:val="00394775"/>
    <w:rsid w:val="003949C6"/>
    <w:rsid w:val="0039648F"/>
    <w:rsid w:val="00396D77"/>
    <w:rsid w:val="00397B23"/>
    <w:rsid w:val="003A07DE"/>
    <w:rsid w:val="003A13BE"/>
    <w:rsid w:val="003A2678"/>
    <w:rsid w:val="003A2E56"/>
    <w:rsid w:val="003A362E"/>
    <w:rsid w:val="003A5378"/>
    <w:rsid w:val="003A5808"/>
    <w:rsid w:val="003A5B83"/>
    <w:rsid w:val="003A5E70"/>
    <w:rsid w:val="003A6CD5"/>
    <w:rsid w:val="003A7A81"/>
    <w:rsid w:val="003B0407"/>
    <w:rsid w:val="003B0D8B"/>
    <w:rsid w:val="003B12E4"/>
    <w:rsid w:val="003B2A63"/>
    <w:rsid w:val="003B3181"/>
    <w:rsid w:val="003B4785"/>
    <w:rsid w:val="003B6197"/>
    <w:rsid w:val="003B6224"/>
    <w:rsid w:val="003B6A63"/>
    <w:rsid w:val="003B6AA4"/>
    <w:rsid w:val="003B721E"/>
    <w:rsid w:val="003B78BA"/>
    <w:rsid w:val="003C0120"/>
    <w:rsid w:val="003C0968"/>
    <w:rsid w:val="003C0B24"/>
    <w:rsid w:val="003C0BEB"/>
    <w:rsid w:val="003C1816"/>
    <w:rsid w:val="003C2FF4"/>
    <w:rsid w:val="003C42A0"/>
    <w:rsid w:val="003C5E6B"/>
    <w:rsid w:val="003C6AC0"/>
    <w:rsid w:val="003C6B73"/>
    <w:rsid w:val="003C7B2D"/>
    <w:rsid w:val="003D0399"/>
    <w:rsid w:val="003D1109"/>
    <w:rsid w:val="003D16B1"/>
    <w:rsid w:val="003D1833"/>
    <w:rsid w:val="003D23A1"/>
    <w:rsid w:val="003D24B1"/>
    <w:rsid w:val="003D2542"/>
    <w:rsid w:val="003D2E0E"/>
    <w:rsid w:val="003D3354"/>
    <w:rsid w:val="003D4522"/>
    <w:rsid w:val="003D4E55"/>
    <w:rsid w:val="003D5C3E"/>
    <w:rsid w:val="003D7791"/>
    <w:rsid w:val="003D7870"/>
    <w:rsid w:val="003E1031"/>
    <w:rsid w:val="003E107D"/>
    <w:rsid w:val="003E26D7"/>
    <w:rsid w:val="003E3004"/>
    <w:rsid w:val="003E47B4"/>
    <w:rsid w:val="003E5089"/>
    <w:rsid w:val="003E519F"/>
    <w:rsid w:val="003E6913"/>
    <w:rsid w:val="003E6C0A"/>
    <w:rsid w:val="003E76C6"/>
    <w:rsid w:val="003E7885"/>
    <w:rsid w:val="003E796D"/>
    <w:rsid w:val="003F0631"/>
    <w:rsid w:val="003F0B3F"/>
    <w:rsid w:val="003F0BC6"/>
    <w:rsid w:val="003F0C04"/>
    <w:rsid w:val="003F0C41"/>
    <w:rsid w:val="003F1B98"/>
    <w:rsid w:val="003F20EA"/>
    <w:rsid w:val="003F2650"/>
    <w:rsid w:val="003F2B29"/>
    <w:rsid w:val="003F3A1D"/>
    <w:rsid w:val="003F4BA8"/>
    <w:rsid w:val="003F5CCF"/>
    <w:rsid w:val="003F5E37"/>
    <w:rsid w:val="003F6A84"/>
    <w:rsid w:val="003F7ABE"/>
    <w:rsid w:val="0040111C"/>
    <w:rsid w:val="004015F0"/>
    <w:rsid w:val="0040177D"/>
    <w:rsid w:val="0040281C"/>
    <w:rsid w:val="00402DD4"/>
    <w:rsid w:val="00403277"/>
    <w:rsid w:val="00403E2E"/>
    <w:rsid w:val="00404706"/>
    <w:rsid w:val="00404C8D"/>
    <w:rsid w:val="00404F14"/>
    <w:rsid w:val="00405D19"/>
    <w:rsid w:val="00405D2C"/>
    <w:rsid w:val="0041392E"/>
    <w:rsid w:val="00413D21"/>
    <w:rsid w:val="00415422"/>
    <w:rsid w:val="00416C1E"/>
    <w:rsid w:val="00420311"/>
    <w:rsid w:val="00420764"/>
    <w:rsid w:val="00420D30"/>
    <w:rsid w:val="004214B0"/>
    <w:rsid w:val="00422C7B"/>
    <w:rsid w:val="00423A50"/>
    <w:rsid w:val="0042421D"/>
    <w:rsid w:val="0042604E"/>
    <w:rsid w:val="00426721"/>
    <w:rsid w:val="00426FBD"/>
    <w:rsid w:val="004270C5"/>
    <w:rsid w:val="00427261"/>
    <w:rsid w:val="004278FE"/>
    <w:rsid w:val="0043039F"/>
    <w:rsid w:val="004306F4"/>
    <w:rsid w:val="00430878"/>
    <w:rsid w:val="00430C38"/>
    <w:rsid w:val="00432854"/>
    <w:rsid w:val="0043308C"/>
    <w:rsid w:val="004332B2"/>
    <w:rsid w:val="00433323"/>
    <w:rsid w:val="00433444"/>
    <w:rsid w:val="0043393B"/>
    <w:rsid w:val="00434FE0"/>
    <w:rsid w:val="00435345"/>
    <w:rsid w:val="00435784"/>
    <w:rsid w:val="00435ECB"/>
    <w:rsid w:val="00436290"/>
    <w:rsid w:val="0043637F"/>
    <w:rsid w:val="00436485"/>
    <w:rsid w:val="00437025"/>
    <w:rsid w:val="00437040"/>
    <w:rsid w:val="0044108C"/>
    <w:rsid w:val="00441364"/>
    <w:rsid w:val="00441D7C"/>
    <w:rsid w:val="00442432"/>
    <w:rsid w:val="00442A05"/>
    <w:rsid w:val="00442DA6"/>
    <w:rsid w:val="004444D9"/>
    <w:rsid w:val="004445FA"/>
    <w:rsid w:val="00444EF2"/>
    <w:rsid w:val="00445102"/>
    <w:rsid w:val="0044518D"/>
    <w:rsid w:val="004472A2"/>
    <w:rsid w:val="004475ED"/>
    <w:rsid w:val="00450122"/>
    <w:rsid w:val="00450CEC"/>
    <w:rsid w:val="00451D9D"/>
    <w:rsid w:val="00451E1B"/>
    <w:rsid w:val="00452150"/>
    <w:rsid w:val="004523E0"/>
    <w:rsid w:val="004534C4"/>
    <w:rsid w:val="004538C6"/>
    <w:rsid w:val="00453E57"/>
    <w:rsid w:val="00454229"/>
    <w:rsid w:val="004552E6"/>
    <w:rsid w:val="00456675"/>
    <w:rsid w:val="00456AE2"/>
    <w:rsid w:val="004602FD"/>
    <w:rsid w:val="0046082E"/>
    <w:rsid w:val="00461961"/>
    <w:rsid w:val="00463C8E"/>
    <w:rsid w:val="004643B7"/>
    <w:rsid w:val="00464823"/>
    <w:rsid w:val="00464831"/>
    <w:rsid w:val="00465644"/>
    <w:rsid w:val="00465A72"/>
    <w:rsid w:val="0046662C"/>
    <w:rsid w:val="004675AF"/>
    <w:rsid w:val="004700A3"/>
    <w:rsid w:val="004705A7"/>
    <w:rsid w:val="004717AB"/>
    <w:rsid w:val="0047209F"/>
    <w:rsid w:val="004720B3"/>
    <w:rsid w:val="004722A8"/>
    <w:rsid w:val="0047271F"/>
    <w:rsid w:val="00472B51"/>
    <w:rsid w:val="004764DE"/>
    <w:rsid w:val="00477278"/>
    <w:rsid w:val="00477444"/>
    <w:rsid w:val="00477FEB"/>
    <w:rsid w:val="00480071"/>
    <w:rsid w:val="00480909"/>
    <w:rsid w:val="004820D4"/>
    <w:rsid w:val="00482241"/>
    <w:rsid w:val="004825A1"/>
    <w:rsid w:val="004829B3"/>
    <w:rsid w:val="00482B91"/>
    <w:rsid w:val="00482C96"/>
    <w:rsid w:val="00483C0A"/>
    <w:rsid w:val="00483FE6"/>
    <w:rsid w:val="004846BA"/>
    <w:rsid w:val="0048514F"/>
    <w:rsid w:val="00486549"/>
    <w:rsid w:val="00486F9E"/>
    <w:rsid w:val="00487CAF"/>
    <w:rsid w:val="00487D0A"/>
    <w:rsid w:val="00490286"/>
    <w:rsid w:val="00490F74"/>
    <w:rsid w:val="00492224"/>
    <w:rsid w:val="00492C1B"/>
    <w:rsid w:val="004933C7"/>
    <w:rsid w:val="00494239"/>
    <w:rsid w:val="0049638D"/>
    <w:rsid w:val="00496CAB"/>
    <w:rsid w:val="0049759A"/>
    <w:rsid w:val="004A05EB"/>
    <w:rsid w:val="004A14D8"/>
    <w:rsid w:val="004A1571"/>
    <w:rsid w:val="004A195B"/>
    <w:rsid w:val="004A33FF"/>
    <w:rsid w:val="004A36BF"/>
    <w:rsid w:val="004A527A"/>
    <w:rsid w:val="004A5D6E"/>
    <w:rsid w:val="004A5DE0"/>
    <w:rsid w:val="004A5EEB"/>
    <w:rsid w:val="004A78CA"/>
    <w:rsid w:val="004B094B"/>
    <w:rsid w:val="004B119A"/>
    <w:rsid w:val="004B1B7C"/>
    <w:rsid w:val="004B1E9F"/>
    <w:rsid w:val="004B284B"/>
    <w:rsid w:val="004B35E3"/>
    <w:rsid w:val="004B3788"/>
    <w:rsid w:val="004B44B2"/>
    <w:rsid w:val="004B4F52"/>
    <w:rsid w:val="004B544D"/>
    <w:rsid w:val="004B5489"/>
    <w:rsid w:val="004B54C4"/>
    <w:rsid w:val="004B5A16"/>
    <w:rsid w:val="004B5EFD"/>
    <w:rsid w:val="004B74CD"/>
    <w:rsid w:val="004B794C"/>
    <w:rsid w:val="004B7C23"/>
    <w:rsid w:val="004B7F17"/>
    <w:rsid w:val="004C0193"/>
    <w:rsid w:val="004C0B45"/>
    <w:rsid w:val="004C4531"/>
    <w:rsid w:val="004C47FC"/>
    <w:rsid w:val="004C4BB9"/>
    <w:rsid w:val="004C4E92"/>
    <w:rsid w:val="004C53FA"/>
    <w:rsid w:val="004C5401"/>
    <w:rsid w:val="004C65F0"/>
    <w:rsid w:val="004C6919"/>
    <w:rsid w:val="004C6E1E"/>
    <w:rsid w:val="004C7C13"/>
    <w:rsid w:val="004D09FF"/>
    <w:rsid w:val="004D1781"/>
    <w:rsid w:val="004D19FD"/>
    <w:rsid w:val="004D1F1B"/>
    <w:rsid w:val="004D1FCB"/>
    <w:rsid w:val="004D253F"/>
    <w:rsid w:val="004D332A"/>
    <w:rsid w:val="004D3FB3"/>
    <w:rsid w:val="004D4056"/>
    <w:rsid w:val="004D4645"/>
    <w:rsid w:val="004D51F2"/>
    <w:rsid w:val="004D5398"/>
    <w:rsid w:val="004D5CB9"/>
    <w:rsid w:val="004D5D42"/>
    <w:rsid w:val="004D6447"/>
    <w:rsid w:val="004D6F2F"/>
    <w:rsid w:val="004E0892"/>
    <w:rsid w:val="004E166A"/>
    <w:rsid w:val="004E2E2E"/>
    <w:rsid w:val="004E2EE9"/>
    <w:rsid w:val="004E3B40"/>
    <w:rsid w:val="004E3CEC"/>
    <w:rsid w:val="004E3DA6"/>
    <w:rsid w:val="004E4395"/>
    <w:rsid w:val="004E4C1A"/>
    <w:rsid w:val="004E5123"/>
    <w:rsid w:val="004E5E10"/>
    <w:rsid w:val="004E6941"/>
    <w:rsid w:val="004E7102"/>
    <w:rsid w:val="004E7A81"/>
    <w:rsid w:val="004F024D"/>
    <w:rsid w:val="004F0347"/>
    <w:rsid w:val="004F2719"/>
    <w:rsid w:val="004F3DD8"/>
    <w:rsid w:val="004F6035"/>
    <w:rsid w:val="004F61A6"/>
    <w:rsid w:val="004F726B"/>
    <w:rsid w:val="004F72A9"/>
    <w:rsid w:val="004F7596"/>
    <w:rsid w:val="004F7DE2"/>
    <w:rsid w:val="005000EC"/>
    <w:rsid w:val="00500417"/>
    <w:rsid w:val="005017A6"/>
    <w:rsid w:val="005018C9"/>
    <w:rsid w:val="00501EC0"/>
    <w:rsid w:val="00502A65"/>
    <w:rsid w:val="00503800"/>
    <w:rsid w:val="00505281"/>
    <w:rsid w:val="0050687D"/>
    <w:rsid w:val="00507662"/>
    <w:rsid w:val="00507D8C"/>
    <w:rsid w:val="0051144A"/>
    <w:rsid w:val="005159B8"/>
    <w:rsid w:val="00516108"/>
    <w:rsid w:val="00517AAA"/>
    <w:rsid w:val="00517D66"/>
    <w:rsid w:val="00520B37"/>
    <w:rsid w:val="00521CFA"/>
    <w:rsid w:val="00522354"/>
    <w:rsid w:val="005223C2"/>
    <w:rsid w:val="00522AC5"/>
    <w:rsid w:val="00523240"/>
    <w:rsid w:val="00523990"/>
    <w:rsid w:val="0052594B"/>
    <w:rsid w:val="00526F8D"/>
    <w:rsid w:val="0052706C"/>
    <w:rsid w:val="00530DDC"/>
    <w:rsid w:val="005310B8"/>
    <w:rsid w:val="005326E9"/>
    <w:rsid w:val="00532E6D"/>
    <w:rsid w:val="0053572A"/>
    <w:rsid w:val="005359A5"/>
    <w:rsid w:val="0053641E"/>
    <w:rsid w:val="00536F20"/>
    <w:rsid w:val="005400ED"/>
    <w:rsid w:val="00540DEC"/>
    <w:rsid w:val="00541176"/>
    <w:rsid w:val="00541A29"/>
    <w:rsid w:val="00541A93"/>
    <w:rsid w:val="00542116"/>
    <w:rsid w:val="00542381"/>
    <w:rsid w:val="0054419D"/>
    <w:rsid w:val="005444A6"/>
    <w:rsid w:val="0054472A"/>
    <w:rsid w:val="00545327"/>
    <w:rsid w:val="00547CB6"/>
    <w:rsid w:val="00550542"/>
    <w:rsid w:val="00550577"/>
    <w:rsid w:val="00550FD1"/>
    <w:rsid w:val="00551BC4"/>
    <w:rsid w:val="0055243F"/>
    <w:rsid w:val="00552CC7"/>
    <w:rsid w:val="0055379D"/>
    <w:rsid w:val="0055426E"/>
    <w:rsid w:val="00555330"/>
    <w:rsid w:val="0055574D"/>
    <w:rsid w:val="00556621"/>
    <w:rsid w:val="00556B87"/>
    <w:rsid w:val="00556D4A"/>
    <w:rsid w:val="00557314"/>
    <w:rsid w:val="0055765D"/>
    <w:rsid w:val="0055790B"/>
    <w:rsid w:val="005602B9"/>
    <w:rsid w:val="0056033C"/>
    <w:rsid w:val="00563A7D"/>
    <w:rsid w:val="005640F6"/>
    <w:rsid w:val="00564580"/>
    <w:rsid w:val="00565E7B"/>
    <w:rsid w:val="00566591"/>
    <w:rsid w:val="005668C0"/>
    <w:rsid w:val="00566AAB"/>
    <w:rsid w:val="00567069"/>
    <w:rsid w:val="00567237"/>
    <w:rsid w:val="00570819"/>
    <w:rsid w:val="00570AD1"/>
    <w:rsid w:val="00570B8C"/>
    <w:rsid w:val="00570FAD"/>
    <w:rsid w:val="0057116B"/>
    <w:rsid w:val="00571412"/>
    <w:rsid w:val="00571B67"/>
    <w:rsid w:val="005729D4"/>
    <w:rsid w:val="00573293"/>
    <w:rsid w:val="0057347F"/>
    <w:rsid w:val="00573FFD"/>
    <w:rsid w:val="00574210"/>
    <w:rsid w:val="00574581"/>
    <w:rsid w:val="00575790"/>
    <w:rsid w:val="00575EF4"/>
    <w:rsid w:val="00575F99"/>
    <w:rsid w:val="005764D3"/>
    <w:rsid w:val="0058042E"/>
    <w:rsid w:val="00580C13"/>
    <w:rsid w:val="00580EA0"/>
    <w:rsid w:val="0058158B"/>
    <w:rsid w:val="00581D95"/>
    <w:rsid w:val="00581FD2"/>
    <w:rsid w:val="00582A53"/>
    <w:rsid w:val="00582B45"/>
    <w:rsid w:val="005835DD"/>
    <w:rsid w:val="005838AB"/>
    <w:rsid w:val="00583F09"/>
    <w:rsid w:val="00584BF3"/>
    <w:rsid w:val="00585032"/>
    <w:rsid w:val="005850EA"/>
    <w:rsid w:val="00585F5B"/>
    <w:rsid w:val="00586218"/>
    <w:rsid w:val="0058661D"/>
    <w:rsid w:val="00586B5E"/>
    <w:rsid w:val="00586EDA"/>
    <w:rsid w:val="00587068"/>
    <w:rsid w:val="0059124E"/>
    <w:rsid w:val="005922C6"/>
    <w:rsid w:val="00592775"/>
    <w:rsid w:val="00592AD9"/>
    <w:rsid w:val="0059302E"/>
    <w:rsid w:val="00594CB6"/>
    <w:rsid w:val="00596F05"/>
    <w:rsid w:val="005A0810"/>
    <w:rsid w:val="005A118A"/>
    <w:rsid w:val="005A1927"/>
    <w:rsid w:val="005A3474"/>
    <w:rsid w:val="005A3BDD"/>
    <w:rsid w:val="005A40D6"/>
    <w:rsid w:val="005A4F0E"/>
    <w:rsid w:val="005A58A9"/>
    <w:rsid w:val="005A5D56"/>
    <w:rsid w:val="005A5E6B"/>
    <w:rsid w:val="005A75A2"/>
    <w:rsid w:val="005A7CBC"/>
    <w:rsid w:val="005A7FA9"/>
    <w:rsid w:val="005B2500"/>
    <w:rsid w:val="005B3395"/>
    <w:rsid w:val="005B343A"/>
    <w:rsid w:val="005B3C97"/>
    <w:rsid w:val="005B3FF3"/>
    <w:rsid w:val="005B41FF"/>
    <w:rsid w:val="005B474A"/>
    <w:rsid w:val="005B58BD"/>
    <w:rsid w:val="005B6588"/>
    <w:rsid w:val="005B7450"/>
    <w:rsid w:val="005B7578"/>
    <w:rsid w:val="005C00B5"/>
    <w:rsid w:val="005C0499"/>
    <w:rsid w:val="005C2039"/>
    <w:rsid w:val="005C2B75"/>
    <w:rsid w:val="005C41BE"/>
    <w:rsid w:val="005C4FAD"/>
    <w:rsid w:val="005C5736"/>
    <w:rsid w:val="005C6F3F"/>
    <w:rsid w:val="005C6F8B"/>
    <w:rsid w:val="005C7391"/>
    <w:rsid w:val="005C7705"/>
    <w:rsid w:val="005C79B8"/>
    <w:rsid w:val="005C7E9D"/>
    <w:rsid w:val="005D060E"/>
    <w:rsid w:val="005D16F7"/>
    <w:rsid w:val="005D1892"/>
    <w:rsid w:val="005D18B4"/>
    <w:rsid w:val="005D1B5F"/>
    <w:rsid w:val="005D1D3E"/>
    <w:rsid w:val="005D2AFC"/>
    <w:rsid w:val="005D451A"/>
    <w:rsid w:val="005D4A24"/>
    <w:rsid w:val="005D54A4"/>
    <w:rsid w:val="005D63FC"/>
    <w:rsid w:val="005D69D5"/>
    <w:rsid w:val="005D6EF1"/>
    <w:rsid w:val="005D733F"/>
    <w:rsid w:val="005E0660"/>
    <w:rsid w:val="005E21A7"/>
    <w:rsid w:val="005E2262"/>
    <w:rsid w:val="005E24C9"/>
    <w:rsid w:val="005E2FBC"/>
    <w:rsid w:val="005E4099"/>
    <w:rsid w:val="005E5C97"/>
    <w:rsid w:val="005E6BC0"/>
    <w:rsid w:val="005E7468"/>
    <w:rsid w:val="005E74E8"/>
    <w:rsid w:val="005F0A4C"/>
    <w:rsid w:val="005F172B"/>
    <w:rsid w:val="005F1B3A"/>
    <w:rsid w:val="005F201D"/>
    <w:rsid w:val="005F218C"/>
    <w:rsid w:val="005F256F"/>
    <w:rsid w:val="005F2B71"/>
    <w:rsid w:val="005F2C08"/>
    <w:rsid w:val="005F2D38"/>
    <w:rsid w:val="005F4B5B"/>
    <w:rsid w:val="005F5071"/>
    <w:rsid w:val="005F522B"/>
    <w:rsid w:val="005F58AB"/>
    <w:rsid w:val="005F61C5"/>
    <w:rsid w:val="005F61D6"/>
    <w:rsid w:val="005F66D3"/>
    <w:rsid w:val="005F6D37"/>
    <w:rsid w:val="005F750A"/>
    <w:rsid w:val="005F7614"/>
    <w:rsid w:val="0060024E"/>
    <w:rsid w:val="006002C2"/>
    <w:rsid w:val="00600481"/>
    <w:rsid w:val="0060144C"/>
    <w:rsid w:val="006017CF"/>
    <w:rsid w:val="0060246C"/>
    <w:rsid w:val="006027D6"/>
    <w:rsid w:val="006028C6"/>
    <w:rsid w:val="00602CCA"/>
    <w:rsid w:val="00604639"/>
    <w:rsid w:val="00605A7F"/>
    <w:rsid w:val="00606C4D"/>
    <w:rsid w:val="00606E52"/>
    <w:rsid w:val="00607002"/>
    <w:rsid w:val="0060732E"/>
    <w:rsid w:val="006073C9"/>
    <w:rsid w:val="006078FB"/>
    <w:rsid w:val="0060791D"/>
    <w:rsid w:val="00607B62"/>
    <w:rsid w:val="00607F21"/>
    <w:rsid w:val="00610866"/>
    <w:rsid w:val="0061142F"/>
    <w:rsid w:val="006124BC"/>
    <w:rsid w:val="006129C2"/>
    <w:rsid w:val="00613158"/>
    <w:rsid w:val="0061561E"/>
    <w:rsid w:val="00616639"/>
    <w:rsid w:val="00617596"/>
    <w:rsid w:val="006179F4"/>
    <w:rsid w:val="00617D53"/>
    <w:rsid w:val="00620409"/>
    <w:rsid w:val="00620776"/>
    <w:rsid w:val="00620B1B"/>
    <w:rsid w:val="0062192D"/>
    <w:rsid w:val="00623B07"/>
    <w:rsid w:val="00623EE7"/>
    <w:rsid w:val="00624B63"/>
    <w:rsid w:val="00624DAA"/>
    <w:rsid w:val="006254FC"/>
    <w:rsid w:val="006262C6"/>
    <w:rsid w:val="00627228"/>
    <w:rsid w:val="00627D54"/>
    <w:rsid w:val="00630069"/>
    <w:rsid w:val="00630A5B"/>
    <w:rsid w:val="0063107F"/>
    <w:rsid w:val="00632437"/>
    <w:rsid w:val="00632771"/>
    <w:rsid w:val="00632FB4"/>
    <w:rsid w:val="00633508"/>
    <w:rsid w:val="00633A3D"/>
    <w:rsid w:val="006349B0"/>
    <w:rsid w:val="00635640"/>
    <w:rsid w:val="006356F6"/>
    <w:rsid w:val="00635A6C"/>
    <w:rsid w:val="00635DB0"/>
    <w:rsid w:val="0063690D"/>
    <w:rsid w:val="0063724B"/>
    <w:rsid w:val="006375C7"/>
    <w:rsid w:val="006375CA"/>
    <w:rsid w:val="00640017"/>
    <w:rsid w:val="0064105B"/>
    <w:rsid w:val="0064193C"/>
    <w:rsid w:val="00641F89"/>
    <w:rsid w:val="00642D39"/>
    <w:rsid w:val="00642D5E"/>
    <w:rsid w:val="00643C0C"/>
    <w:rsid w:val="00645367"/>
    <w:rsid w:val="00645A8E"/>
    <w:rsid w:val="00645CEF"/>
    <w:rsid w:val="00646802"/>
    <w:rsid w:val="00646E8E"/>
    <w:rsid w:val="00646F92"/>
    <w:rsid w:val="00650554"/>
    <w:rsid w:val="0065064E"/>
    <w:rsid w:val="00650FE9"/>
    <w:rsid w:val="00651156"/>
    <w:rsid w:val="00651685"/>
    <w:rsid w:val="006523FE"/>
    <w:rsid w:val="006527D7"/>
    <w:rsid w:val="00654093"/>
    <w:rsid w:val="0065417D"/>
    <w:rsid w:val="006558F8"/>
    <w:rsid w:val="00655D5E"/>
    <w:rsid w:val="00656A6F"/>
    <w:rsid w:val="00656B72"/>
    <w:rsid w:val="0065724F"/>
    <w:rsid w:val="006575BC"/>
    <w:rsid w:val="00657694"/>
    <w:rsid w:val="00657E0A"/>
    <w:rsid w:val="00660939"/>
    <w:rsid w:val="0066206C"/>
    <w:rsid w:val="00662745"/>
    <w:rsid w:val="00662B1A"/>
    <w:rsid w:val="00663187"/>
    <w:rsid w:val="00663442"/>
    <w:rsid w:val="006635BD"/>
    <w:rsid w:val="00663739"/>
    <w:rsid w:val="006658E7"/>
    <w:rsid w:val="006660B8"/>
    <w:rsid w:val="00666239"/>
    <w:rsid w:val="00666318"/>
    <w:rsid w:val="006669FC"/>
    <w:rsid w:val="0066706A"/>
    <w:rsid w:val="00667801"/>
    <w:rsid w:val="00670EB1"/>
    <w:rsid w:val="00670EC5"/>
    <w:rsid w:val="00671492"/>
    <w:rsid w:val="0067164C"/>
    <w:rsid w:val="006717D8"/>
    <w:rsid w:val="00671FD8"/>
    <w:rsid w:val="0067326A"/>
    <w:rsid w:val="00673A9F"/>
    <w:rsid w:val="00673F79"/>
    <w:rsid w:val="0067422D"/>
    <w:rsid w:val="00675C01"/>
    <w:rsid w:val="00676F55"/>
    <w:rsid w:val="006771A8"/>
    <w:rsid w:val="006801AA"/>
    <w:rsid w:val="00680DA9"/>
    <w:rsid w:val="00682682"/>
    <w:rsid w:val="00683FAC"/>
    <w:rsid w:val="00685DCB"/>
    <w:rsid w:val="00685ECC"/>
    <w:rsid w:val="00687611"/>
    <w:rsid w:val="0068779A"/>
    <w:rsid w:val="0068783E"/>
    <w:rsid w:val="0069021E"/>
    <w:rsid w:val="006912C7"/>
    <w:rsid w:val="006926D4"/>
    <w:rsid w:val="00693388"/>
    <w:rsid w:val="00693943"/>
    <w:rsid w:val="00694B8A"/>
    <w:rsid w:val="00695DD2"/>
    <w:rsid w:val="006966CF"/>
    <w:rsid w:val="00696945"/>
    <w:rsid w:val="00696D55"/>
    <w:rsid w:val="0069700E"/>
    <w:rsid w:val="0069722D"/>
    <w:rsid w:val="006976AA"/>
    <w:rsid w:val="006979F1"/>
    <w:rsid w:val="00697F94"/>
    <w:rsid w:val="006A01DC"/>
    <w:rsid w:val="006A065B"/>
    <w:rsid w:val="006A125D"/>
    <w:rsid w:val="006A1426"/>
    <w:rsid w:val="006A1C2C"/>
    <w:rsid w:val="006A24E6"/>
    <w:rsid w:val="006A29AE"/>
    <w:rsid w:val="006A3BF7"/>
    <w:rsid w:val="006A4C50"/>
    <w:rsid w:val="006A4D38"/>
    <w:rsid w:val="006A50AF"/>
    <w:rsid w:val="006A526C"/>
    <w:rsid w:val="006A5A14"/>
    <w:rsid w:val="006B184D"/>
    <w:rsid w:val="006B1B5E"/>
    <w:rsid w:val="006B217E"/>
    <w:rsid w:val="006B29FF"/>
    <w:rsid w:val="006B2B2D"/>
    <w:rsid w:val="006B3738"/>
    <w:rsid w:val="006B53D0"/>
    <w:rsid w:val="006B57E1"/>
    <w:rsid w:val="006B59CD"/>
    <w:rsid w:val="006B5C9E"/>
    <w:rsid w:val="006B5F1F"/>
    <w:rsid w:val="006B6D0B"/>
    <w:rsid w:val="006B7684"/>
    <w:rsid w:val="006C1574"/>
    <w:rsid w:val="006C160F"/>
    <w:rsid w:val="006C18D4"/>
    <w:rsid w:val="006C1BA9"/>
    <w:rsid w:val="006C200B"/>
    <w:rsid w:val="006C3318"/>
    <w:rsid w:val="006C37B5"/>
    <w:rsid w:val="006C3A68"/>
    <w:rsid w:val="006C3D1F"/>
    <w:rsid w:val="006C3D7E"/>
    <w:rsid w:val="006C4253"/>
    <w:rsid w:val="006C4A82"/>
    <w:rsid w:val="006C4D2A"/>
    <w:rsid w:val="006C589B"/>
    <w:rsid w:val="006C6B20"/>
    <w:rsid w:val="006D0283"/>
    <w:rsid w:val="006D04FA"/>
    <w:rsid w:val="006D122C"/>
    <w:rsid w:val="006D14BE"/>
    <w:rsid w:val="006D17C3"/>
    <w:rsid w:val="006D1F0C"/>
    <w:rsid w:val="006D2923"/>
    <w:rsid w:val="006D2ABF"/>
    <w:rsid w:val="006D415E"/>
    <w:rsid w:val="006D44E9"/>
    <w:rsid w:val="006D4CA4"/>
    <w:rsid w:val="006D5198"/>
    <w:rsid w:val="006D51E3"/>
    <w:rsid w:val="006D532D"/>
    <w:rsid w:val="006D76A7"/>
    <w:rsid w:val="006D78EB"/>
    <w:rsid w:val="006E0A6E"/>
    <w:rsid w:val="006E0D03"/>
    <w:rsid w:val="006E26CA"/>
    <w:rsid w:val="006E2757"/>
    <w:rsid w:val="006E2DB8"/>
    <w:rsid w:val="006E3F0D"/>
    <w:rsid w:val="006E43B8"/>
    <w:rsid w:val="006E4C45"/>
    <w:rsid w:val="006E54ED"/>
    <w:rsid w:val="006E57A7"/>
    <w:rsid w:val="006E62D1"/>
    <w:rsid w:val="006E6959"/>
    <w:rsid w:val="006E6D80"/>
    <w:rsid w:val="006E70DF"/>
    <w:rsid w:val="006E7AA6"/>
    <w:rsid w:val="006E7EFF"/>
    <w:rsid w:val="006F06EC"/>
    <w:rsid w:val="006F14DF"/>
    <w:rsid w:val="006F162E"/>
    <w:rsid w:val="006F349F"/>
    <w:rsid w:val="006F3828"/>
    <w:rsid w:val="006F42C2"/>
    <w:rsid w:val="006F4315"/>
    <w:rsid w:val="006F459A"/>
    <w:rsid w:val="006F4A11"/>
    <w:rsid w:val="006F4A46"/>
    <w:rsid w:val="006F55E2"/>
    <w:rsid w:val="006F5699"/>
    <w:rsid w:val="006F5D41"/>
    <w:rsid w:val="006F693A"/>
    <w:rsid w:val="006F76A6"/>
    <w:rsid w:val="006F7BDF"/>
    <w:rsid w:val="007008D6"/>
    <w:rsid w:val="00700AC4"/>
    <w:rsid w:val="00700BEC"/>
    <w:rsid w:val="00700FCE"/>
    <w:rsid w:val="00701918"/>
    <w:rsid w:val="0070297C"/>
    <w:rsid w:val="00702CF6"/>
    <w:rsid w:val="007034D6"/>
    <w:rsid w:val="0070456A"/>
    <w:rsid w:val="00704F36"/>
    <w:rsid w:val="007052EF"/>
    <w:rsid w:val="00705752"/>
    <w:rsid w:val="00705E63"/>
    <w:rsid w:val="00706B80"/>
    <w:rsid w:val="00710919"/>
    <w:rsid w:val="007111C1"/>
    <w:rsid w:val="007129BE"/>
    <w:rsid w:val="007129E7"/>
    <w:rsid w:val="00712BCD"/>
    <w:rsid w:val="00712E26"/>
    <w:rsid w:val="0071527E"/>
    <w:rsid w:val="00715FED"/>
    <w:rsid w:val="007164FF"/>
    <w:rsid w:val="007204F5"/>
    <w:rsid w:val="00720544"/>
    <w:rsid w:val="007207C1"/>
    <w:rsid w:val="00720A12"/>
    <w:rsid w:val="00721EB7"/>
    <w:rsid w:val="0072230F"/>
    <w:rsid w:val="007228FB"/>
    <w:rsid w:val="00722B52"/>
    <w:rsid w:val="00723446"/>
    <w:rsid w:val="00723E10"/>
    <w:rsid w:val="0072472B"/>
    <w:rsid w:val="00724737"/>
    <w:rsid w:val="00724A37"/>
    <w:rsid w:val="007250E3"/>
    <w:rsid w:val="007251C6"/>
    <w:rsid w:val="00725EED"/>
    <w:rsid w:val="00725FF4"/>
    <w:rsid w:val="00726710"/>
    <w:rsid w:val="00726F85"/>
    <w:rsid w:val="0072734A"/>
    <w:rsid w:val="00730983"/>
    <w:rsid w:val="007315A2"/>
    <w:rsid w:val="007321FF"/>
    <w:rsid w:val="007334F7"/>
    <w:rsid w:val="00734ED5"/>
    <w:rsid w:val="00735F4C"/>
    <w:rsid w:val="00736AB6"/>
    <w:rsid w:val="00737077"/>
    <w:rsid w:val="007372C6"/>
    <w:rsid w:val="00737E9D"/>
    <w:rsid w:val="007403C1"/>
    <w:rsid w:val="00740549"/>
    <w:rsid w:val="00740C25"/>
    <w:rsid w:val="0074102E"/>
    <w:rsid w:val="00741974"/>
    <w:rsid w:val="00743915"/>
    <w:rsid w:val="00743975"/>
    <w:rsid w:val="00743F44"/>
    <w:rsid w:val="00743F48"/>
    <w:rsid w:val="00744BAD"/>
    <w:rsid w:val="00745659"/>
    <w:rsid w:val="00745E83"/>
    <w:rsid w:val="00746C21"/>
    <w:rsid w:val="00746C27"/>
    <w:rsid w:val="0074778E"/>
    <w:rsid w:val="00751641"/>
    <w:rsid w:val="00751D53"/>
    <w:rsid w:val="00751EF6"/>
    <w:rsid w:val="00753561"/>
    <w:rsid w:val="00754D91"/>
    <w:rsid w:val="00755390"/>
    <w:rsid w:val="0075556D"/>
    <w:rsid w:val="00755FF1"/>
    <w:rsid w:val="0075715F"/>
    <w:rsid w:val="00761363"/>
    <w:rsid w:val="00761D11"/>
    <w:rsid w:val="007620B6"/>
    <w:rsid w:val="0076322A"/>
    <w:rsid w:val="00763966"/>
    <w:rsid w:val="00763A81"/>
    <w:rsid w:val="007642C9"/>
    <w:rsid w:val="00764891"/>
    <w:rsid w:val="007649AC"/>
    <w:rsid w:val="007667EC"/>
    <w:rsid w:val="00766BBB"/>
    <w:rsid w:val="0076707A"/>
    <w:rsid w:val="00767EB2"/>
    <w:rsid w:val="00770BF0"/>
    <w:rsid w:val="007723D9"/>
    <w:rsid w:val="007729D6"/>
    <w:rsid w:val="00773777"/>
    <w:rsid w:val="0077427D"/>
    <w:rsid w:val="007749A0"/>
    <w:rsid w:val="00775ADD"/>
    <w:rsid w:val="00776090"/>
    <w:rsid w:val="007760F4"/>
    <w:rsid w:val="00776135"/>
    <w:rsid w:val="00777B0F"/>
    <w:rsid w:val="00777C68"/>
    <w:rsid w:val="00781148"/>
    <w:rsid w:val="0078275B"/>
    <w:rsid w:val="00782A95"/>
    <w:rsid w:val="007840A9"/>
    <w:rsid w:val="00785E67"/>
    <w:rsid w:val="00787453"/>
    <w:rsid w:val="0079209D"/>
    <w:rsid w:val="007921DA"/>
    <w:rsid w:val="00792910"/>
    <w:rsid w:val="007929F0"/>
    <w:rsid w:val="00793DC9"/>
    <w:rsid w:val="00793DD5"/>
    <w:rsid w:val="00794229"/>
    <w:rsid w:val="00794D0A"/>
    <w:rsid w:val="007957A5"/>
    <w:rsid w:val="00795B61"/>
    <w:rsid w:val="00796E48"/>
    <w:rsid w:val="007976E6"/>
    <w:rsid w:val="00797C9D"/>
    <w:rsid w:val="007A013D"/>
    <w:rsid w:val="007A037B"/>
    <w:rsid w:val="007A04AD"/>
    <w:rsid w:val="007A06C0"/>
    <w:rsid w:val="007A1BE4"/>
    <w:rsid w:val="007A283A"/>
    <w:rsid w:val="007A3B0C"/>
    <w:rsid w:val="007A658D"/>
    <w:rsid w:val="007A6AA3"/>
    <w:rsid w:val="007A6D25"/>
    <w:rsid w:val="007B0D16"/>
    <w:rsid w:val="007B140F"/>
    <w:rsid w:val="007B1C31"/>
    <w:rsid w:val="007B23AA"/>
    <w:rsid w:val="007B28A1"/>
    <w:rsid w:val="007B2ACF"/>
    <w:rsid w:val="007B2B00"/>
    <w:rsid w:val="007B39E7"/>
    <w:rsid w:val="007B48CE"/>
    <w:rsid w:val="007B55E7"/>
    <w:rsid w:val="007B70A6"/>
    <w:rsid w:val="007C07C0"/>
    <w:rsid w:val="007C1263"/>
    <w:rsid w:val="007C1EB0"/>
    <w:rsid w:val="007C2A2E"/>
    <w:rsid w:val="007C2D01"/>
    <w:rsid w:val="007C32C4"/>
    <w:rsid w:val="007C3845"/>
    <w:rsid w:val="007C3F30"/>
    <w:rsid w:val="007C41FA"/>
    <w:rsid w:val="007C4CE7"/>
    <w:rsid w:val="007C51DF"/>
    <w:rsid w:val="007C5E7F"/>
    <w:rsid w:val="007C681C"/>
    <w:rsid w:val="007D0C7C"/>
    <w:rsid w:val="007D155F"/>
    <w:rsid w:val="007D1911"/>
    <w:rsid w:val="007D2DF4"/>
    <w:rsid w:val="007D3035"/>
    <w:rsid w:val="007D3C0B"/>
    <w:rsid w:val="007D3DB3"/>
    <w:rsid w:val="007D4FC4"/>
    <w:rsid w:val="007D5348"/>
    <w:rsid w:val="007D5AB1"/>
    <w:rsid w:val="007D63BC"/>
    <w:rsid w:val="007D6BA8"/>
    <w:rsid w:val="007D6F33"/>
    <w:rsid w:val="007D6F8D"/>
    <w:rsid w:val="007D7CF4"/>
    <w:rsid w:val="007E004C"/>
    <w:rsid w:val="007E0359"/>
    <w:rsid w:val="007E2D4F"/>
    <w:rsid w:val="007E3025"/>
    <w:rsid w:val="007E37AC"/>
    <w:rsid w:val="007E42C5"/>
    <w:rsid w:val="007E44B1"/>
    <w:rsid w:val="007E486A"/>
    <w:rsid w:val="007E4C3A"/>
    <w:rsid w:val="007E5802"/>
    <w:rsid w:val="007E6D11"/>
    <w:rsid w:val="007F1518"/>
    <w:rsid w:val="007F197F"/>
    <w:rsid w:val="007F2538"/>
    <w:rsid w:val="007F2FB5"/>
    <w:rsid w:val="007F385D"/>
    <w:rsid w:val="007F3A0F"/>
    <w:rsid w:val="007F3B89"/>
    <w:rsid w:val="007F3BDD"/>
    <w:rsid w:val="007F6752"/>
    <w:rsid w:val="007F6BE9"/>
    <w:rsid w:val="007F7AD7"/>
    <w:rsid w:val="007F7B55"/>
    <w:rsid w:val="007F7B76"/>
    <w:rsid w:val="00800A39"/>
    <w:rsid w:val="00800CD9"/>
    <w:rsid w:val="00801054"/>
    <w:rsid w:val="00801A89"/>
    <w:rsid w:val="00801ACD"/>
    <w:rsid w:val="00801E0D"/>
    <w:rsid w:val="00801F3D"/>
    <w:rsid w:val="00802280"/>
    <w:rsid w:val="00802F18"/>
    <w:rsid w:val="00803084"/>
    <w:rsid w:val="00803915"/>
    <w:rsid w:val="00803E4E"/>
    <w:rsid w:val="00804054"/>
    <w:rsid w:val="00804A6A"/>
    <w:rsid w:val="00805059"/>
    <w:rsid w:val="008062B0"/>
    <w:rsid w:val="008067D9"/>
    <w:rsid w:val="00807DC7"/>
    <w:rsid w:val="008107C4"/>
    <w:rsid w:val="008114FE"/>
    <w:rsid w:val="008115E4"/>
    <w:rsid w:val="00812333"/>
    <w:rsid w:val="008132D7"/>
    <w:rsid w:val="00813576"/>
    <w:rsid w:val="00814D98"/>
    <w:rsid w:val="00815622"/>
    <w:rsid w:val="0081658A"/>
    <w:rsid w:val="00816683"/>
    <w:rsid w:val="00817179"/>
    <w:rsid w:val="008174D0"/>
    <w:rsid w:val="0081758C"/>
    <w:rsid w:val="00817D36"/>
    <w:rsid w:val="00820375"/>
    <w:rsid w:val="008205D2"/>
    <w:rsid w:val="00820B19"/>
    <w:rsid w:val="008212F9"/>
    <w:rsid w:val="00821C38"/>
    <w:rsid w:val="00821CC3"/>
    <w:rsid w:val="00822BE4"/>
    <w:rsid w:val="00822C05"/>
    <w:rsid w:val="00823468"/>
    <w:rsid w:val="0082363C"/>
    <w:rsid w:val="008239B9"/>
    <w:rsid w:val="00823D07"/>
    <w:rsid w:val="00825B80"/>
    <w:rsid w:val="008264F4"/>
    <w:rsid w:val="00826798"/>
    <w:rsid w:val="00826AD5"/>
    <w:rsid w:val="00826B03"/>
    <w:rsid w:val="00826BBD"/>
    <w:rsid w:val="00827645"/>
    <w:rsid w:val="00830159"/>
    <w:rsid w:val="008315BE"/>
    <w:rsid w:val="00831A59"/>
    <w:rsid w:val="00831E69"/>
    <w:rsid w:val="00832234"/>
    <w:rsid w:val="00832430"/>
    <w:rsid w:val="008324AB"/>
    <w:rsid w:val="00832D9C"/>
    <w:rsid w:val="008334F4"/>
    <w:rsid w:val="0083429D"/>
    <w:rsid w:val="008343CA"/>
    <w:rsid w:val="00834BA2"/>
    <w:rsid w:val="00834CD9"/>
    <w:rsid w:val="00834F7E"/>
    <w:rsid w:val="00835C5D"/>
    <w:rsid w:val="008362F2"/>
    <w:rsid w:val="00837148"/>
    <w:rsid w:val="008372ED"/>
    <w:rsid w:val="00837A5E"/>
    <w:rsid w:val="00840AA9"/>
    <w:rsid w:val="008420E0"/>
    <w:rsid w:val="0084213C"/>
    <w:rsid w:val="008434B2"/>
    <w:rsid w:val="0084355B"/>
    <w:rsid w:val="0084534F"/>
    <w:rsid w:val="00847199"/>
    <w:rsid w:val="00847EFB"/>
    <w:rsid w:val="00850327"/>
    <w:rsid w:val="0085080A"/>
    <w:rsid w:val="00850B99"/>
    <w:rsid w:val="008510F7"/>
    <w:rsid w:val="008522FE"/>
    <w:rsid w:val="0085355B"/>
    <w:rsid w:val="00853933"/>
    <w:rsid w:val="00855E60"/>
    <w:rsid w:val="00856248"/>
    <w:rsid w:val="008567FA"/>
    <w:rsid w:val="00857E4A"/>
    <w:rsid w:val="0086018A"/>
    <w:rsid w:val="008619BE"/>
    <w:rsid w:val="00861D0D"/>
    <w:rsid w:val="00862101"/>
    <w:rsid w:val="00862E7C"/>
    <w:rsid w:val="00862F8C"/>
    <w:rsid w:val="00863647"/>
    <w:rsid w:val="008643D8"/>
    <w:rsid w:val="00864585"/>
    <w:rsid w:val="00864A3B"/>
    <w:rsid w:val="008651AB"/>
    <w:rsid w:val="0086525F"/>
    <w:rsid w:val="00865BA5"/>
    <w:rsid w:val="008660BE"/>
    <w:rsid w:val="00866592"/>
    <w:rsid w:val="00867040"/>
    <w:rsid w:val="008678FD"/>
    <w:rsid w:val="00870C81"/>
    <w:rsid w:val="00871956"/>
    <w:rsid w:val="00873A17"/>
    <w:rsid w:val="00873A78"/>
    <w:rsid w:val="00873AC8"/>
    <w:rsid w:val="00873C96"/>
    <w:rsid w:val="008756C8"/>
    <w:rsid w:val="00875DAD"/>
    <w:rsid w:val="00876DA5"/>
    <w:rsid w:val="008774DB"/>
    <w:rsid w:val="00877EA3"/>
    <w:rsid w:val="00880CC9"/>
    <w:rsid w:val="00881EA9"/>
    <w:rsid w:val="0088291F"/>
    <w:rsid w:val="00882C59"/>
    <w:rsid w:val="00882FA1"/>
    <w:rsid w:val="008830F5"/>
    <w:rsid w:val="008839B0"/>
    <w:rsid w:val="00885218"/>
    <w:rsid w:val="008853ED"/>
    <w:rsid w:val="00885F71"/>
    <w:rsid w:val="0089125D"/>
    <w:rsid w:val="00892057"/>
    <w:rsid w:val="008926B1"/>
    <w:rsid w:val="008927DB"/>
    <w:rsid w:val="00892C89"/>
    <w:rsid w:val="00892D89"/>
    <w:rsid w:val="008942CA"/>
    <w:rsid w:val="00894E40"/>
    <w:rsid w:val="008956E6"/>
    <w:rsid w:val="00895AC0"/>
    <w:rsid w:val="00895FA3"/>
    <w:rsid w:val="0089655C"/>
    <w:rsid w:val="008967BA"/>
    <w:rsid w:val="00896A8D"/>
    <w:rsid w:val="00896B03"/>
    <w:rsid w:val="00896BA9"/>
    <w:rsid w:val="00896E4F"/>
    <w:rsid w:val="00897DEB"/>
    <w:rsid w:val="00897F2E"/>
    <w:rsid w:val="008A02DB"/>
    <w:rsid w:val="008A08F7"/>
    <w:rsid w:val="008A1458"/>
    <w:rsid w:val="008A1FD5"/>
    <w:rsid w:val="008A4812"/>
    <w:rsid w:val="008A4C73"/>
    <w:rsid w:val="008A5110"/>
    <w:rsid w:val="008A57C3"/>
    <w:rsid w:val="008A77AA"/>
    <w:rsid w:val="008B1307"/>
    <w:rsid w:val="008B1545"/>
    <w:rsid w:val="008B1567"/>
    <w:rsid w:val="008B1F3F"/>
    <w:rsid w:val="008B2637"/>
    <w:rsid w:val="008B26DF"/>
    <w:rsid w:val="008B29D9"/>
    <w:rsid w:val="008B2D64"/>
    <w:rsid w:val="008B4BA4"/>
    <w:rsid w:val="008B533D"/>
    <w:rsid w:val="008B64D0"/>
    <w:rsid w:val="008B72F5"/>
    <w:rsid w:val="008B7954"/>
    <w:rsid w:val="008B7BEF"/>
    <w:rsid w:val="008C0953"/>
    <w:rsid w:val="008C1629"/>
    <w:rsid w:val="008C2E75"/>
    <w:rsid w:val="008C4B0E"/>
    <w:rsid w:val="008C575A"/>
    <w:rsid w:val="008C5BB5"/>
    <w:rsid w:val="008C62C3"/>
    <w:rsid w:val="008C6424"/>
    <w:rsid w:val="008C65F2"/>
    <w:rsid w:val="008C7362"/>
    <w:rsid w:val="008C75C0"/>
    <w:rsid w:val="008D0093"/>
    <w:rsid w:val="008D1377"/>
    <w:rsid w:val="008D1E84"/>
    <w:rsid w:val="008D22FA"/>
    <w:rsid w:val="008D2686"/>
    <w:rsid w:val="008D3088"/>
    <w:rsid w:val="008D387A"/>
    <w:rsid w:val="008D3E01"/>
    <w:rsid w:val="008D4E24"/>
    <w:rsid w:val="008D517F"/>
    <w:rsid w:val="008D551A"/>
    <w:rsid w:val="008D5CF2"/>
    <w:rsid w:val="008D6173"/>
    <w:rsid w:val="008D6A12"/>
    <w:rsid w:val="008E05AB"/>
    <w:rsid w:val="008E0788"/>
    <w:rsid w:val="008E1728"/>
    <w:rsid w:val="008E2352"/>
    <w:rsid w:val="008E380B"/>
    <w:rsid w:val="008E4079"/>
    <w:rsid w:val="008E4B99"/>
    <w:rsid w:val="008E5C36"/>
    <w:rsid w:val="008E621F"/>
    <w:rsid w:val="008E6F2C"/>
    <w:rsid w:val="008E7076"/>
    <w:rsid w:val="008E71A1"/>
    <w:rsid w:val="008E778F"/>
    <w:rsid w:val="008E7FFC"/>
    <w:rsid w:val="008F10AF"/>
    <w:rsid w:val="008F1520"/>
    <w:rsid w:val="008F19B1"/>
    <w:rsid w:val="008F26DA"/>
    <w:rsid w:val="008F2C5C"/>
    <w:rsid w:val="008F3022"/>
    <w:rsid w:val="008F54C6"/>
    <w:rsid w:val="008F5D3E"/>
    <w:rsid w:val="008F67A5"/>
    <w:rsid w:val="008F6B65"/>
    <w:rsid w:val="008F75F2"/>
    <w:rsid w:val="008F78E3"/>
    <w:rsid w:val="008F7C33"/>
    <w:rsid w:val="008F7E85"/>
    <w:rsid w:val="009017A6"/>
    <w:rsid w:val="00901AD9"/>
    <w:rsid w:val="00901F39"/>
    <w:rsid w:val="00902DE6"/>
    <w:rsid w:val="009033A8"/>
    <w:rsid w:val="00905562"/>
    <w:rsid w:val="00906255"/>
    <w:rsid w:val="009069D1"/>
    <w:rsid w:val="009070C4"/>
    <w:rsid w:val="009078F2"/>
    <w:rsid w:val="0091053B"/>
    <w:rsid w:val="009111A8"/>
    <w:rsid w:val="00911D35"/>
    <w:rsid w:val="00911F61"/>
    <w:rsid w:val="00912222"/>
    <w:rsid w:val="0091372D"/>
    <w:rsid w:val="00914327"/>
    <w:rsid w:val="00914BAA"/>
    <w:rsid w:val="00916405"/>
    <w:rsid w:val="00916548"/>
    <w:rsid w:val="00916A25"/>
    <w:rsid w:val="00920427"/>
    <w:rsid w:val="009216E6"/>
    <w:rsid w:val="0092175A"/>
    <w:rsid w:val="0092194A"/>
    <w:rsid w:val="00921C0D"/>
    <w:rsid w:val="00921C42"/>
    <w:rsid w:val="009221C5"/>
    <w:rsid w:val="009224D0"/>
    <w:rsid w:val="009231FF"/>
    <w:rsid w:val="00923FFC"/>
    <w:rsid w:val="00924CC8"/>
    <w:rsid w:val="00924D08"/>
    <w:rsid w:val="00924D8B"/>
    <w:rsid w:val="009254DB"/>
    <w:rsid w:val="00925EB4"/>
    <w:rsid w:val="00925FD9"/>
    <w:rsid w:val="00926377"/>
    <w:rsid w:val="009269C5"/>
    <w:rsid w:val="00926A5F"/>
    <w:rsid w:val="00926E2A"/>
    <w:rsid w:val="0092793A"/>
    <w:rsid w:val="00930BDD"/>
    <w:rsid w:val="0093149A"/>
    <w:rsid w:val="00932516"/>
    <w:rsid w:val="00933A10"/>
    <w:rsid w:val="00933FCE"/>
    <w:rsid w:val="00934DB3"/>
    <w:rsid w:val="00934FB1"/>
    <w:rsid w:val="00935330"/>
    <w:rsid w:val="00936D9F"/>
    <w:rsid w:val="00936E71"/>
    <w:rsid w:val="009379F2"/>
    <w:rsid w:val="00940826"/>
    <w:rsid w:val="00940D60"/>
    <w:rsid w:val="00941B84"/>
    <w:rsid w:val="0094217F"/>
    <w:rsid w:val="00943196"/>
    <w:rsid w:val="009439FA"/>
    <w:rsid w:val="00943A96"/>
    <w:rsid w:val="00943F6E"/>
    <w:rsid w:val="00944521"/>
    <w:rsid w:val="00945323"/>
    <w:rsid w:val="00945974"/>
    <w:rsid w:val="00945CAD"/>
    <w:rsid w:val="009465CA"/>
    <w:rsid w:val="009471E4"/>
    <w:rsid w:val="009474BF"/>
    <w:rsid w:val="00947B3C"/>
    <w:rsid w:val="00947CE9"/>
    <w:rsid w:val="00950645"/>
    <w:rsid w:val="00950DEE"/>
    <w:rsid w:val="009510F9"/>
    <w:rsid w:val="0095138C"/>
    <w:rsid w:val="0095163E"/>
    <w:rsid w:val="00951797"/>
    <w:rsid w:val="00951DE2"/>
    <w:rsid w:val="00952CF3"/>
    <w:rsid w:val="00954AD6"/>
    <w:rsid w:val="0095553A"/>
    <w:rsid w:val="0095617C"/>
    <w:rsid w:val="00956C43"/>
    <w:rsid w:val="00957603"/>
    <w:rsid w:val="00957634"/>
    <w:rsid w:val="00957FA3"/>
    <w:rsid w:val="0096004F"/>
    <w:rsid w:val="00960BFA"/>
    <w:rsid w:val="00960C88"/>
    <w:rsid w:val="009616C8"/>
    <w:rsid w:val="00962E65"/>
    <w:rsid w:val="00962EF1"/>
    <w:rsid w:val="009630C5"/>
    <w:rsid w:val="00963DD2"/>
    <w:rsid w:val="00965DA6"/>
    <w:rsid w:val="009665CF"/>
    <w:rsid w:val="00967DE9"/>
    <w:rsid w:val="009712D6"/>
    <w:rsid w:val="0097147F"/>
    <w:rsid w:val="00971E5A"/>
    <w:rsid w:val="0097258A"/>
    <w:rsid w:val="0097314C"/>
    <w:rsid w:val="00973FD6"/>
    <w:rsid w:val="009740D3"/>
    <w:rsid w:val="00975030"/>
    <w:rsid w:val="00975310"/>
    <w:rsid w:val="00975A42"/>
    <w:rsid w:val="00976253"/>
    <w:rsid w:val="00976256"/>
    <w:rsid w:val="00976B8C"/>
    <w:rsid w:val="00976DC5"/>
    <w:rsid w:val="00976F03"/>
    <w:rsid w:val="009778A5"/>
    <w:rsid w:val="00980799"/>
    <w:rsid w:val="00980BFC"/>
    <w:rsid w:val="00981542"/>
    <w:rsid w:val="00982036"/>
    <w:rsid w:val="00982383"/>
    <w:rsid w:val="00982768"/>
    <w:rsid w:val="00982F1B"/>
    <w:rsid w:val="00982FD2"/>
    <w:rsid w:val="00984E21"/>
    <w:rsid w:val="00985053"/>
    <w:rsid w:val="00985292"/>
    <w:rsid w:val="0098588D"/>
    <w:rsid w:val="00985D81"/>
    <w:rsid w:val="00986114"/>
    <w:rsid w:val="0098704D"/>
    <w:rsid w:val="0099039F"/>
    <w:rsid w:val="00990CE5"/>
    <w:rsid w:val="00990EEC"/>
    <w:rsid w:val="00991346"/>
    <w:rsid w:val="00991963"/>
    <w:rsid w:val="00992245"/>
    <w:rsid w:val="0099306E"/>
    <w:rsid w:val="00994147"/>
    <w:rsid w:val="00994C57"/>
    <w:rsid w:val="00995C1F"/>
    <w:rsid w:val="0099769B"/>
    <w:rsid w:val="009A00E4"/>
    <w:rsid w:val="009A03EC"/>
    <w:rsid w:val="009A102D"/>
    <w:rsid w:val="009A19B2"/>
    <w:rsid w:val="009A2356"/>
    <w:rsid w:val="009A3150"/>
    <w:rsid w:val="009A355A"/>
    <w:rsid w:val="009A3C0F"/>
    <w:rsid w:val="009A41D0"/>
    <w:rsid w:val="009A448C"/>
    <w:rsid w:val="009A449D"/>
    <w:rsid w:val="009A4E28"/>
    <w:rsid w:val="009A56E7"/>
    <w:rsid w:val="009A5E87"/>
    <w:rsid w:val="009B168F"/>
    <w:rsid w:val="009B1B93"/>
    <w:rsid w:val="009B2110"/>
    <w:rsid w:val="009B267F"/>
    <w:rsid w:val="009B2DAC"/>
    <w:rsid w:val="009B2FA0"/>
    <w:rsid w:val="009B31D9"/>
    <w:rsid w:val="009B3894"/>
    <w:rsid w:val="009B5389"/>
    <w:rsid w:val="009B7870"/>
    <w:rsid w:val="009B7A87"/>
    <w:rsid w:val="009B7D6B"/>
    <w:rsid w:val="009C27C5"/>
    <w:rsid w:val="009C3027"/>
    <w:rsid w:val="009C30C8"/>
    <w:rsid w:val="009C3376"/>
    <w:rsid w:val="009C4572"/>
    <w:rsid w:val="009C563E"/>
    <w:rsid w:val="009C670B"/>
    <w:rsid w:val="009C6757"/>
    <w:rsid w:val="009C69EB"/>
    <w:rsid w:val="009C6AD7"/>
    <w:rsid w:val="009C7038"/>
    <w:rsid w:val="009C7EC6"/>
    <w:rsid w:val="009D2910"/>
    <w:rsid w:val="009D33ED"/>
    <w:rsid w:val="009D3939"/>
    <w:rsid w:val="009D39B8"/>
    <w:rsid w:val="009D3FC5"/>
    <w:rsid w:val="009D5407"/>
    <w:rsid w:val="009D5662"/>
    <w:rsid w:val="009D58ED"/>
    <w:rsid w:val="009D59FB"/>
    <w:rsid w:val="009D5D12"/>
    <w:rsid w:val="009D5E2A"/>
    <w:rsid w:val="009D701D"/>
    <w:rsid w:val="009D7DB6"/>
    <w:rsid w:val="009E0CD0"/>
    <w:rsid w:val="009E0D6D"/>
    <w:rsid w:val="009E17C4"/>
    <w:rsid w:val="009E2C8B"/>
    <w:rsid w:val="009E2D3E"/>
    <w:rsid w:val="009E3651"/>
    <w:rsid w:val="009E4223"/>
    <w:rsid w:val="009E5798"/>
    <w:rsid w:val="009E66C2"/>
    <w:rsid w:val="009E6B1B"/>
    <w:rsid w:val="009E794E"/>
    <w:rsid w:val="009E7ADE"/>
    <w:rsid w:val="009F04E4"/>
    <w:rsid w:val="009F07CB"/>
    <w:rsid w:val="009F0AED"/>
    <w:rsid w:val="009F17CB"/>
    <w:rsid w:val="009F1B9D"/>
    <w:rsid w:val="009F2D97"/>
    <w:rsid w:val="009F2E9D"/>
    <w:rsid w:val="009F3D5F"/>
    <w:rsid w:val="009F5772"/>
    <w:rsid w:val="009F5D8A"/>
    <w:rsid w:val="009F6113"/>
    <w:rsid w:val="009F62B1"/>
    <w:rsid w:val="009F64E5"/>
    <w:rsid w:val="009F6789"/>
    <w:rsid w:val="00A0079D"/>
    <w:rsid w:val="00A00AFE"/>
    <w:rsid w:val="00A00DDE"/>
    <w:rsid w:val="00A00FD4"/>
    <w:rsid w:val="00A01054"/>
    <w:rsid w:val="00A01962"/>
    <w:rsid w:val="00A02330"/>
    <w:rsid w:val="00A033CE"/>
    <w:rsid w:val="00A0663E"/>
    <w:rsid w:val="00A100D1"/>
    <w:rsid w:val="00A1062A"/>
    <w:rsid w:val="00A10911"/>
    <w:rsid w:val="00A110E5"/>
    <w:rsid w:val="00A11791"/>
    <w:rsid w:val="00A1217C"/>
    <w:rsid w:val="00A1488D"/>
    <w:rsid w:val="00A14ACD"/>
    <w:rsid w:val="00A14DF1"/>
    <w:rsid w:val="00A17229"/>
    <w:rsid w:val="00A17BA9"/>
    <w:rsid w:val="00A202F9"/>
    <w:rsid w:val="00A212CF"/>
    <w:rsid w:val="00A22066"/>
    <w:rsid w:val="00A22A64"/>
    <w:rsid w:val="00A2320F"/>
    <w:rsid w:val="00A256E5"/>
    <w:rsid w:val="00A26B27"/>
    <w:rsid w:val="00A26FF1"/>
    <w:rsid w:val="00A27336"/>
    <w:rsid w:val="00A2734D"/>
    <w:rsid w:val="00A27AFC"/>
    <w:rsid w:val="00A27EDD"/>
    <w:rsid w:val="00A308E0"/>
    <w:rsid w:val="00A30F91"/>
    <w:rsid w:val="00A3273C"/>
    <w:rsid w:val="00A328DC"/>
    <w:rsid w:val="00A336C7"/>
    <w:rsid w:val="00A344E7"/>
    <w:rsid w:val="00A34BEB"/>
    <w:rsid w:val="00A34DF7"/>
    <w:rsid w:val="00A3637D"/>
    <w:rsid w:val="00A36548"/>
    <w:rsid w:val="00A366A5"/>
    <w:rsid w:val="00A366BF"/>
    <w:rsid w:val="00A3764F"/>
    <w:rsid w:val="00A376CD"/>
    <w:rsid w:val="00A40999"/>
    <w:rsid w:val="00A41638"/>
    <w:rsid w:val="00A42067"/>
    <w:rsid w:val="00A42622"/>
    <w:rsid w:val="00A454F3"/>
    <w:rsid w:val="00A45608"/>
    <w:rsid w:val="00A45729"/>
    <w:rsid w:val="00A465BA"/>
    <w:rsid w:val="00A46AFB"/>
    <w:rsid w:val="00A46F3E"/>
    <w:rsid w:val="00A47088"/>
    <w:rsid w:val="00A51C41"/>
    <w:rsid w:val="00A5201E"/>
    <w:rsid w:val="00A539B5"/>
    <w:rsid w:val="00A55665"/>
    <w:rsid w:val="00A56712"/>
    <w:rsid w:val="00A56BA0"/>
    <w:rsid w:val="00A56D72"/>
    <w:rsid w:val="00A57AA1"/>
    <w:rsid w:val="00A57EAA"/>
    <w:rsid w:val="00A61856"/>
    <w:rsid w:val="00A62009"/>
    <w:rsid w:val="00A6213F"/>
    <w:rsid w:val="00A62CE4"/>
    <w:rsid w:val="00A63281"/>
    <w:rsid w:val="00A6377F"/>
    <w:rsid w:val="00A63BF8"/>
    <w:rsid w:val="00A63C42"/>
    <w:rsid w:val="00A65402"/>
    <w:rsid w:val="00A66096"/>
    <w:rsid w:val="00A66810"/>
    <w:rsid w:val="00A70867"/>
    <w:rsid w:val="00A70B0C"/>
    <w:rsid w:val="00A711E1"/>
    <w:rsid w:val="00A71847"/>
    <w:rsid w:val="00A72403"/>
    <w:rsid w:val="00A735A6"/>
    <w:rsid w:val="00A739D1"/>
    <w:rsid w:val="00A74846"/>
    <w:rsid w:val="00A75904"/>
    <w:rsid w:val="00A759FE"/>
    <w:rsid w:val="00A75F21"/>
    <w:rsid w:val="00A7795D"/>
    <w:rsid w:val="00A801F5"/>
    <w:rsid w:val="00A8081F"/>
    <w:rsid w:val="00A80A7E"/>
    <w:rsid w:val="00A818B7"/>
    <w:rsid w:val="00A818DE"/>
    <w:rsid w:val="00A82186"/>
    <w:rsid w:val="00A82342"/>
    <w:rsid w:val="00A82895"/>
    <w:rsid w:val="00A82B16"/>
    <w:rsid w:val="00A82C5C"/>
    <w:rsid w:val="00A833DD"/>
    <w:rsid w:val="00A842F1"/>
    <w:rsid w:val="00A85FC5"/>
    <w:rsid w:val="00A860A9"/>
    <w:rsid w:val="00A86D90"/>
    <w:rsid w:val="00A874C3"/>
    <w:rsid w:val="00A879BF"/>
    <w:rsid w:val="00A87DA3"/>
    <w:rsid w:val="00A87E4B"/>
    <w:rsid w:val="00A90EB6"/>
    <w:rsid w:val="00A91164"/>
    <w:rsid w:val="00A92BAA"/>
    <w:rsid w:val="00A92CC8"/>
    <w:rsid w:val="00A94FF0"/>
    <w:rsid w:val="00A95A96"/>
    <w:rsid w:val="00A976F0"/>
    <w:rsid w:val="00A97794"/>
    <w:rsid w:val="00AA0BB8"/>
    <w:rsid w:val="00AA0D21"/>
    <w:rsid w:val="00AA1A39"/>
    <w:rsid w:val="00AA1FA4"/>
    <w:rsid w:val="00AA2EDA"/>
    <w:rsid w:val="00AA32C9"/>
    <w:rsid w:val="00AA4974"/>
    <w:rsid w:val="00AA4D58"/>
    <w:rsid w:val="00AA5C79"/>
    <w:rsid w:val="00AA6BEA"/>
    <w:rsid w:val="00AA7116"/>
    <w:rsid w:val="00AA71C3"/>
    <w:rsid w:val="00AB06A4"/>
    <w:rsid w:val="00AB0992"/>
    <w:rsid w:val="00AB1258"/>
    <w:rsid w:val="00AB35ED"/>
    <w:rsid w:val="00AB35FA"/>
    <w:rsid w:val="00AB482E"/>
    <w:rsid w:val="00AB5898"/>
    <w:rsid w:val="00AB680C"/>
    <w:rsid w:val="00AB7843"/>
    <w:rsid w:val="00AB7FCD"/>
    <w:rsid w:val="00AB7FD8"/>
    <w:rsid w:val="00AC00E9"/>
    <w:rsid w:val="00AC08EF"/>
    <w:rsid w:val="00AC376C"/>
    <w:rsid w:val="00AC3C64"/>
    <w:rsid w:val="00AC3E4C"/>
    <w:rsid w:val="00AC3E6A"/>
    <w:rsid w:val="00AC4167"/>
    <w:rsid w:val="00AC4D20"/>
    <w:rsid w:val="00AC66B2"/>
    <w:rsid w:val="00AC6BC9"/>
    <w:rsid w:val="00AC74D0"/>
    <w:rsid w:val="00AC7E92"/>
    <w:rsid w:val="00AD09A5"/>
    <w:rsid w:val="00AD2313"/>
    <w:rsid w:val="00AD2341"/>
    <w:rsid w:val="00AD2516"/>
    <w:rsid w:val="00AD2739"/>
    <w:rsid w:val="00AD2BAA"/>
    <w:rsid w:val="00AD3BF3"/>
    <w:rsid w:val="00AD3D27"/>
    <w:rsid w:val="00AD5B6A"/>
    <w:rsid w:val="00AD6E1A"/>
    <w:rsid w:val="00AD72F0"/>
    <w:rsid w:val="00AD7986"/>
    <w:rsid w:val="00AD7BCB"/>
    <w:rsid w:val="00AE0452"/>
    <w:rsid w:val="00AE0B0E"/>
    <w:rsid w:val="00AE1891"/>
    <w:rsid w:val="00AE1FEA"/>
    <w:rsid w:val="00AE2558"/>
    <w:rsid w:val="00AE3030"/>
    <w:rsid w:val="00AE30EF"/>
    <w:rsid w:val="00AE3A61"/>
    <w:rsid w:val="00AE48A4"/>
    <w:rsid w:val="00AE491D"/>
    <w:rsid w:val="00AE4B50"/>
    <w:rsid w:val="00AE4D8B"/>
    <w:rsid w:val="00AE562E"/>
    <w:rsid w:val="00AE7054"/>
    <w:rsid w:val="00AE7255"/>
    <w:rsid w:val="00AE79E2"/>
    <w:rsid w:val="00AE7C5E"/>
    <w:rsid w:val="00AF0FB5"/>
    <w:rsid w:val="00AF1169"/>
    <w:rsid w:val="00AF1472"/>
    <w:rsid w:val="00AF1FCB"/>
    <w:rsid w:val="00AF24FC"/>
    <w:rsid w:val="00AF287D"/>
    <w:rsid w:val="00AF29AC"/>
    <w:rsid w:val="00AF2D31"/>
    <w:rsid w:val="00AF3585"/>
    <w:rsid w:val="00AF53DC"/>
    <w:rsid w:val="00AF5548"/>
    <w:rsid w:val="00AF5914"/>
    <w:rsid w:val="00AF6091"/>
    <w:rsid w:val="00AF6409"/>
    <w:rsid w:val="00AF791E"/>
    <w:rsid w:val="00B004C6"/>
    <w:rsid w:val="00B00E97"/>
    <w:rsid w:val="00B03B10"/>
    <w:rsid w:val="00B03EFD"/>
    <w:rsid w:val="00B0604D"/>
    <w:rsid w:val="00B069F9"/>
    <w:rsid w:val="00B0733C"/>
    <w:rsid w:val="00B077E9"/>
    <w:rsid w:val="00B10251"/>
    <w:rsid w:val="00B1087F"/>
    <w:rsid w:val="00B108C6"/>
    <w:rsid w:val="00B10A80"/>
    <w:rsid w:val="00B10BE6"/>
    <w:rsid w:val="00B12083"/>
    <w:rsid w:val="00B125E5"/>
    <w:rsid w:val="00B136AD"/>
    <w:rsid w:val="00B13D30"/>
    <w:rsid w:val="00B14A2D"/>
    <w:rsid w:val="00B15130"/>
    <w:rsid w:val="00B15316"/>
    <w:rsid w:val="00B1535A"/>
    <w:rsid w:val="00B15422"/>
    <w:rsid w:val="00B15941"/>
    <w:rsid w:val="00B16917"/>
    <w:rsid w:val="00B17768"/>
    <w:rsid w:val="00B20154"/>
    <w:rsid w:val="00B20B78"/>
    <w:rsid w:val="00B21D70"/>
    <w:rsid w:val="00B2226C"/>
    <w:rsid w:val="00B22AF5"/>
    <w:rsid w:val="00B26828"/>
    <w:rsid w:val="00B27C7A"/>
    <w:rsid w:val="00B27F41"/>
    <w:rsid w:val="00B27FAC"/>
    <w:rsid w:val="00B30AE3"/>
    <w:rsid w:val="00B30AE6"/>
    <w:rsid w:val="00B31073"/>
    <w:rsid w:val="00B312A6"/>
    <w:rsid w:val="00B31E3D"/>
    <w:rsid w:val="00B31E80"/>
    <w:rsid w:val="00B32908"/>
    <w:rsid w:val="00B32DC6"/>
    <w:rsid w:val="00B33AD5"/>
    <w:rsid w:val="00B3495D"/>
    <w:rsid w:val="00B34BAA"/>
    <w:rsid w:val="00B34CF9"/>
    <w:rsid w:val="00B35909"/>
    <w:rsid w:val="00B36325"/>
    <w:rsid w:val="00B37A75"/>
    <w:rsid w:val="00B4020A"/>
    <w:rsid w:val="00B4132B"/>
    <w:rsid w:val="00B4157C"/>
    <w:rsid w:val="00B428BE"/>
    <w:rsid w:val="00B43030"/>
    <w:rsid w:val="00B450E8"/>
    <w:rsid w:val="00B4554E"/>
    <w:rsid w:val="00B4611D"/>
    <w:rsid w:val="00B4639A"/>
    <w:rsid w:val="00B46F47"/>
    <w:rsid w:val="00B4730E"/>
    <w:rsid w:val="00B47A4C"/>
    <w:rsid w:val="00B5002F"/>
    <w:rsid w:val="00B500A7"/>
    <w:rsid w:val="00B50ABE"/>
    <w:rsid w:val="00B518FD"/>
    <w:rsid w:val="00B51F7C"/>
    <w:rsid w:val="00B521E4"/>
    <w:rsid w:val="00B52781"/>
    <w:rsid w:val="00B54723"/>
    <w:rsid w:val="00B55465"/>
    <w:rsid w:val="00B5564C"/>
    <w:rsid w:val="00B55B76"/>
    <w:rsid w:val="00B56087"/>
    <w:rsid w:val="00B56DA6"/>
    <w:rsid w:val="00B5704B"/>
    <w:rsid w:val="00B60A27"/>
    <w:rsid w:val="00B60D98"/>
    <w:rsid w:val="00B60EDD"/>
    <w:rsid w:val="00B61D23"/>
    <w:rsid w:val="00B63463"/>
    <w:rsid w:val="00B63893"/>
    <w:rsid w:val="00B646CE"/>
    <w:rsid w:val="00B65782"/>
    <w:rsid w:val="00B65817"/>
    <w:rsid w:val="00B6649E"/>
    <w:rsid w:val="00B667CB"/>
    <w:rsid w:val="00B66AC9"/>
    <w:rsid w:val="00B672F6"/>
    <w:rsid w:val="00B67A7C"/>
    <w:rsid w:val="00B67AB9"/>
    <w:rsid w:val="00B67AE3"/>
    <w:rsid w:val="00B70E33"/>
    <w:rsid w:val="00B719C3"/>
    <w:rsid w:val="00B71A1C"/>
    <w:rsid w:val="00B71D7C"/>
    <w:rsid w:val="00B73766"/>
    <w:rsid w:val="00B738E0"/>
    <w:rsid w:val="00B75CD5"/>
    <w:rsid w:val="00B76C76"/>
    <w:rsid w:val="00B803ED"/>
    <w:rsid w:val="00B80537"/>
    <w:rsid w:val="00B814B8"/>
    <w:rsid w:val="00B815F3"/>
    <w:rsid w:val="00B821B7"/>
    <w:rsid w:val="00B827F5"/>
    <w:rsid w:val="00B83702"/>
    <w:rsid w:val="00B839BF"/>
    <w:rsid w:val="00B8401F"/>
    <w:rsid w:val="00B84194"/>
    <w:rsid w:val="00B847A8"/>
    <w:rsid w:val="00B84EDA"/>
    <w:rsid w:val="00B85985"/>
    <w:rsid w:val="00B85C71"/>
    <w:rsid w:val="00B86BC6"/>
    <w:rsid w:val="00B90082"/>
    <w:rsid w:val="00B90377"/>
    <w:rsid w:val="00B9042B"/>
    <w:rsid w:val="00B90CEE"/>
    <w:rsid w:val="00B91079"/>
    <w:rsid w:val="00B91EE0"/>
    <w:rsid w:val="00B9217D"/>
    <w:rsid w:val="00B9219F"/>
    <w:rsid w:val="00B92E9C"/>
    <w:rsid w:val="00B937A4"/>
    <w:rsid w:val="00B93C3B"/>
    <w:rsid w:val="00B9429C"/>
    <w:rsid w:val="00B95ECF"/>
    <w:rsid w:val="00B96490"/>
    <w:rsid w:val="00B9779C"/>
    <w:rsid w:val="00B97817"/>
    <w:rsid w:val="00B97851"/>
    <w:rsid w:val="00BA1601"/>
    <w:rsid w:val="00BA1BFD"/>
    <w:rsid w:val="00BA2122"/>
    <w:rsid w:val="00BA284A"/>
    <w:rsid w:val="00BA2E73"/>
    <w:rsid w:val="00BA317A"/>
    <w:rsid w:val="00BA5DF3"/>
    <w:rsid w:val="00BA69EE"/>
    <w:rsid w:val="00BA77A6"/>
    <w:rsid w:val="00BA7A0D"/>
    <w:rsid w:val="00BA7B02"/>
    <w:rsid w:val="00BA7E9A"/>
    <w:rsid w:val="00BB062E"/>
    <w:rsid w:val="00BB083C"/>
    <w:rsid w:val="00BB1955"/>
    <w:rsid w:val="00BB2460"/>
    <w:rsid w:val="00BB2FCB"/>
    <w:rsid w:val="00BB36A7"/>
    <w:rsid w:val="00BB4FB1"/>
    <w:rsid w:val="00BB5BD4"/>
    <w:rsid w:val="00BB69A0"/>
    <w:rsid w:val="00BB7D13"/>
    <w:rsid w:val="00BC1372"/>
    <w:rsid w:val="00BC1A7E"/>
    <w:rsid w:val="00BC1AF3"/>
    <w:rsid w:val="00BC1B2E"/>
    <w:rsid w:val="00BC2A35"/>
    <w:rsid w:val="00BC350F"/>
    <w:rsid w:val="00BC3984"/>
    <w:rsid w:val="00BC3E64"/>
    <w:rsid w:val="00BC6576"/>
    <w:rsid w:val="00BC688C"/>
    <w:rsid w:val="00BC6CFD"/>
    <w:rsid w:val="00BD0258"/>
    <w:rsid w:val="00BD0551"/>
    <w:rsid w:val="00BD0D36"/>
    <w:rsid w:val="00BD14C5"/>
    <w:rsid w:val="00BD188D"/>
    <w:rsid w:val="00BD2526"/>
    <w:rsid w:val="00BD2654"/>
    <w:rsid w:val="00BD28A3"/>
    <w:rsid w:val="00BD2D74"/>
    <w:rsid w:val="00BD3025"/>
    <w:rsid w:val="00BD31DF"/>
    <w:rsid w:val="00BD33D6"/>
    <w:rsid w:val="00BD35C8"/>
    <w:rsid w:val="00BD5628"/>
    <w:rsid w:val="00BD6F1B"/>
    <w:rsid w:val="00BE04C4"/>
    <w:rsid w:val="00BE28D9"/>
    <w:rsid w:val="00BE28E4"/>
    <w:rsid w:val="00BE3AB0"/>
    <w:rsid w:val="00BE49FB"/>
    <w:rsid w:val="00BE5804"/>
    <w:rsid w:val="00BE7A1A"/>
    <w:rsid w:val="00BE7BD2"/>
    <w:rsid w:val="00BF0A8A"/>
    <w:rsid w:val="00BF1C70"/>
    <w:rsid w:val="00BF2BE3"/>
    <w:rsid w:val="00BF321B"/>
    <w:rsid w:val="00BF46B7"/>
    <w:rsid w:val="00BF515C"/>
    <w:rsid w:val="00BF6F73"/>
    <w:rsid w:val="00BF75C6"/>
    <w:rsid w:val="00C00400"/>
    <w:rsid w:val="00C00A7E"/>
    <w:rsid w:val="00C00AFA"/>
    <w:rsid w:val="00C00FCC"/>
    <w:rsid w:val="00C01ABC"/>
    <w:rsid w:val="00C01B06"/>
    <w:rsid w:val="00C0220F"/>
    <w:rsid w:val="00C02562"/>
    <w:rsid w:val="00C02620"/>
    <w:rsid w:val="00C03E76"/>
    <w:rsid w:val="00C063EE"/>
    <w:rsid w:val="00C0720E"/>
    <w:rsid w:val="00C076B9"/>
    <w:rsid w:val="00C101BD"/>
    <w:rsid w:val="00C10C14"/>
    <w:rsid w:val="00C10EAE"/>
    <w:rsid w:val="00C12660"/>
    <w:rsid w:val="00C12B9F"/>
    <w:rsid w:val="00C12C6B"/>
    <w:rsid w:val="00C1330E"/>
    <w:rsid w:val="00C137AE"/>
    <w:rsid w:val="00C13CD5"/>
    <w:rsid w:val="00C14206"/>
    <w:rsid w:val="00C15843"/>
    <w:rsid w:val="00C16767"/>
    <w:rsid w:val="00C168D5"/>
    <w:rsid w:val="00C16F45"/>
    <w:rsid w:val="00C17082"/>
    <w:rsid w:val="00C17A1F"/>
    <w:rsid w:val="00C17D3E"/>
    <w:rsid w:val="00C2309B"/>
    <w:rsid w:val="00C23BDD"/>
    <w:rsid w:val="00C24300"/>
    <w:rsid w:val="00C24D38"/>
    <w:rsid w:val="00C25D00"/>
    <w:rsid w:val="00C26DA6"/>
    <w:rsid w:val="00C31BA8"/>
    <w:rsid w:val="00C326F5"/>
    <w:rsid w:val="00C32EF8"/>
    <w:rsid w:val="00C33990"/>
    <w:rsid w:val="00C351B1"/>
    <w:rsid w:val="00C35704"/>
    <w:rsid w:val="00C365B2"/>
    <w:rsid w:val="00C365DE"/>
    <w:rsid w:val="00C367AF"/>
    <w:rsid w:val="00C375E0"/>
    <w:rsid w:val="00C3799F"/>
    <w:rsid w:val="00C37D8B"/>
    <w:rsid w:val="00C4016A"/>
    <w:rsid w:val="00C429AD"/>
    <w:rsid w:val="00C42B72"/>
    <w:rsid w:val="00C42DCB"/>
    <w:rsid w:val="00C42E1F"/>
    <w:rsid w:val="00C44BF4"/>
    <w:rsid w:val="00C45A08"/>
    <w:rsid w:val="00C45B67"/>
    <w:rsid w:val="00C45C94"/>
    <w:rsid w:val="00C462E9"/>
    <w:rsid w:val="00C46AC4"/>
    <w:rsid w:val="00C47BAC"/>
    <w:rsid w:val="00C50075"/>
    <w:rsid w:val="00C50AB2"/>
    <w:rsid w:val="00C51AD8"/>
    <w:rsid w:val="00C51EE9"/>
    <w:rsid w:val="00C52434"/>
    <w:rsid w:val="00C529C2"/>
    <w:rsid w:val="00C52A8D"/>
    <w:rsid w:val="00C52F4D"/>
    <w:rsid w:val="00C53661"/>
    <w:rsid w:val="00C53C2B"/>
    <w:rsid w:val="00C5420F"/>
    <w:rsid w:val="00C544A4"/>
    <w:rsid w:val="00C54E5A"/>
    <w:rsid w:val="00C5507D"/>
    <w:rsid w:val="00C56F1D"/>
    <w:rsid w:val="00C56FA2"/>
    <w:rsid w:val="00C57214"/>
    <w:rsid w:val="00C573DB"/>
    <w:rsid w:val="00C5762C"/>
    <w:rsid w:val="00C57B9B"/>
    <w:rsid w:val="00C57BF7"/>
    <w:rsid w:val="00C57D6A"/>
    <w:rsid w:val="00C57F33"/>
    <w:rsid w:val="00C60996"/>
    <w:rsid w:val="00C61078"/>
    <w:rsid w:val="00C63242"/>
    <w:rsid w:val="00C636B9"/>
    <w:rsid w:val="00C63D2A"/>
    <w:rsid w:val="00C64DA6"/>
    <w:rsid w:val="00C66DD3"/>
    <w:rsid w:val="00C70A98"/>
    <w:rsid w:val="00C70B75"/>
    <w:rsid w:val="00C71516"/>
    <w:rsid w:val="00C716FF"/>
    <w:rsid w:val="00C71803"/>
    <w:rsid w:val="00C718B3"/>
    <w:rsid w:val="00C726A6"/>
    <w:rsid w:val="00C73065"/>
    <w:rsid w:val="00C737C6"/>
    <w:rsid w:val="00C75226"/>
    <w:rsid w:val="00C75A4F"/>
    <w:rsid w:val="00C7669A"/>
    <w:rsid w:val="00C76A38"/>
    <w:rsid w:val="00C76B7D"/>
    <w:rsid w:val="00C8011D"/>
    <w:rsid w:val="00C80883"/>
    <w:rsid w:val="00C80EB3"/>
    <w:rsid w:val="00C80F98"/>
    <w:rsid w:val="00C81EA4"/>
    <w:rsid w:val="00C81FD1"/>
    <w:rsid w:val="00C82B8B"/>
    <w:rsid w:val="00C8542D"/>
    <w:rsid w:val="00C854C6"/>
    <w:rsid w:val="00C86ED5"/>
    <w:rsid w:val="00C8726E"/>
    <w:rsid w:val="00C87536"/>
    <w:rsid w:val="00C87855"/>
    <w:rsid w:val="00C87C08"/>
    <w:rsid w:val="00C900D9"/>
    <w:rsid w:val="00C90355"/>
    <w:rsid w:val="00C90709"/>
    <w:rsid w:val="00C90797"/>
    <w:rsid w:val="00C90E1B"/>
    <w:rsid w:val="00C90FA1"/>
    <w:rsid w:val="00C9221C"/>
    <w:rsid w:val="00C92BB1"/>
    <w:rsid w:val="00C940C5"/>
    <w:rsid w:val="00C94801"/>
    <w:rsid w:val="00C9649A"/>
    <w:rsid w:val="00C969E5"/>
    <w:rsid w:val="00C96BF7"/>
    <w:rsid w:val="00C97BEA"/>
    <w:rsid w:val="00C97EC4"/>
    <w:rsid w:val="00CA0DAC"/>
    <w:rsid w:val="00CA11B5"/>
    <w:rsid w:val="00CA237D"/>
    <w:rsid w:val="00CA2AA6"/>
    <w:rsid w:val="00CA3831"/>
    <w:rsid w:val="00CA44A2"/>
    <w:rsid w:val="00CA53DC"/>
    <w:rsid w:val="00CA5492"/>
    <w:rsid w:val="00CA55D8"/>
    <w:rsid w:val="00CA674F"/>
    <w:rsid w:val="00CA71B9"/>
    <w:rsid w:val="00CA74F5"/>
    <w:rsid w:val="00CA75EF"/>
    <w:rsid w:val="00CB1121"/>
    <w:rsid w:val="00CB11E8"/>
    <w:rsid w:val="00CB1AAC"/>
    <w:rsid w:val="00CB1FBF"/>
    <w:rsid w:val="00CB25B9"/>
    <w:rsid w:val="00CB4CD4"/>
    <w:rsid w:val="00CB5C03"/>
    <w:rsid w:val="00CB7686"/>
    <w:rsid w:val="00CB7AD0"/>
    <w:rsid w:val="00CC04FE"/>
    <w:rsid w:val="00CC0B80"/>
    <w:rsid w:val="00CC0C0C"/>
    <w:rsid w:val="00CC275F"/>
    <w:rsid w:val="00CC2CAF"/>
    <w:rsid w:val="00CC496B"/>
    <w:rsid w:val="00CC58D5"/>
    <w:rsid w:val="00CC6440"/>
    <w:rsid w:val="00CC6687"/>
    <w:rsid w:val="00CC7364"/>
    <w:rsid w:val="00CC7788"/>
    <w:rsid w:val="00CC7BD2"/>
    <w:rsid w:val="00CC7DB7"/>
    <w:rsid w:val="00CD09FC"/>
    <w:rsid w:val="00CD0A8A"/>
    <w:rsid w:val="00CD294F"/>
    <w:rsid w:val="00CD3C46"/>
    <w:rsid w:val="00CD58C1"/>
    <w:rsid w:val="00CD5ABC"/>
    <w:rsid w:val="00CD64A3"/>
    <w:rsid w:val="00CD6923"/>
    <w:rsid w:val="00CD75A1"/>
    <w:rsid w:val="00CD75B0"/>
    <w:rsid w:val="00CD78C0"/>
    <w:rsid w:val="00CD7D38"/>
    <w:rsid w:val="00CE0027"/>
    <w:rsid w:val="00CE0F04"/>
    <w:rsid w:val="00CE1C60"/>
    <w:rsid w:val="00CE2A0E"/>
    <w:rsid w:val="00CE2A2B"/>
    <w:rsid w:val="00CE3D6C"/>
    <w:rsid w:val="00CE4525"/>
    <w:rsid w:val="00CE4844"/>
    <w:rsid w:val="00CE57AE"/>
    <w:rsid w:val="00CE59B0"/>
    <w:rsid w:val="00CE5BD3"/>
    <w:rsid w:val="00CE5F81"/>
    <w:rsid w:val="00CE6897"/>
    <w:rsid w:val="00CE6AB6"/>
    <w:rsid w:val="00CE7706"/>
    <w:rsid w:val="00CE7B87"/>
    <w:rsid w:val="00CF106A"/>
    <w:rsid w:val="00CF1AC7"/>
    <w:rsid w:val="00CF1F3F"/>
    <w:rsid w:val="00CF2619"/>
    <w:rsid w:val="00CF2A64"/>
    <w:rsid w:val="00CF2D37"/>
    <w:rsid w:val="00CF3B75"/>
    <w:rsid w:val="00CF3C4E"/>
    <w:rsid w:val="00CF4019"/>
    <w:rsid w:val="00CF4AF7"/>
    <w:rsid w:val="00CF51A2"/>
    <w:rsid w:val="00CF51FE"/>
    <w:rsid w:val="00CF7197"/>
    <w:rsid w:val="00CF757A"/>
    <w:rsid w:val="00D00209"/>
    <w:rsid w:val="00D00983"/>
    <w:rsid w:val="00D0183E"/>
    <w:rsid w:val="00D01C0B"/>
    <w:rsid w:val="00D02464"/>
    <w:rsid w:val="00D03E26"/>
    <w:rsid w:val="00D040BC"/>
    <w:rsid w:val="00D04887"/>
    <w:rsid w:val="00D051C0"/>
    <w:rsid w:val="00D0521A"/>
    <w:rsid w:val="00D05F5F"/>
    <w:rsid w:val="00D068DB"/>
    <w:rsid w:val="00D1055F"/>
    <w:rsid w:val="00D10647"/>
    <w:rsid w:val="00D10735"/>
    <w:rsid w:val="00D108EA"/>
    <w:rsid w:val="00D10BAB"/>
    <w:rsid w:val="00D119DC"/>
    <w:rsid w:val="00D11F8F"/>
    <w:rsid w:val="00D1228F"/>
    <w:rsid w:val="00D1314A"/>
    <w:rsid w:val="00D134BF"/>
    <w:rsid w:val="00D13CA5"/>
    <w:rsid w:val="00D1420D"/>
    <w:rsid w:val="00D14443"/>
    <w:rsid w:val="00D14BE5"/>
    <w:rsid w:val="00D14C36"/>
    <w:rsid w:val="00D15141"/>
    <w:rsid w:val="00D15846"/>
    <w:rsid w:val="00D15F80"/>
    <w:rsid w:val="00D16916"/>
    <w:rsid w:val="00D1731D"/>
    <w:rsid w:val="00D17BBF"/>
    <w:rsid w:val="00D20014"/>
    <w:rsid w:val="00D200AB"/>
    <w:rsid w:val="00D205B1"/>
    <w:rsid w:val="00D205C1"/>
    <w:rsid w:val="00D214F0"/>
    <w:rsid w:val="00D21671"/>
    <w:rsid w:val="00D232F9"/>
    <w:rsid w:val="00D2395A"/>
    <w:rsid w:val="00D2400C"/>
    <w:rsid w:val="00D251B9"/>
    <w:rsid w:val="00D2584F"/>
    <w:rsid w:val="00D2741F"/>
    <w:rsid w:val="00D30067"/>
    <w:rsid w:val="00D3017D"/>
    <w:rsid w:val="00D30AAC"/>
    <w:rsid w:val="00D30ACD"/>
    <w:rsid w:val="00D30DDD"/>
    <w:rsid w:val="00D31033"/>
    <w:rsid w:val="00D313DF"/>
    <w:rsid w:val="00D31CB2"/>
    <w:rsid w:val="00D31CE4"/>
    <w:rsid w:val="00D3235B"/>
    <w:rsid w:val="00D32EF8"/>
    <w:rsid w:val="00D33994"/>
    <w:rsid w:val="00D35E3F"/>
    <w:rsid w:val="00D36135"/>
    <w:rsid w:val="00D36D6D"/>
    <w:rsid w:val="00D36FBE"/>
    <w:rsid w:val="00D3749E"/>
    <w:rsid w:val="00D374FE"/>
    <w:rsid w:val="00D421F3"/>
    <w:rsid w:val="00D42220"/>
    <w:rsid w:val="00D4263D"/>
    <w:rsid w:val="00D42697"/>
    <w:rsid w:val="00D43574"/>
    <w:rsid w:val="00D43C82"/>
    <w:rsid w:val="00D43D65"/>
    <w:rsid w:val="00D4468D"/>
    <w:rsid w:val="00D45FC9"/>
    <w:rsid w:val="00D461B4"/>
    <w:rsid w:val="00D4756C"/>
    <w:rsid w:val="00D50095"/>
    <w:rsid w:val="00D50210"/>
    <w:rsid w:val="00D508F5"/>
    <w:rsid w:val="00D521AF"/>
    <w:rsid w:val="00D53CDE"/>
    <w:rsid w:val="00D53D04"/>
    <w:rsid w:val="00D53E9D"/>
    <w:rsid w:val="00D544DB"/>
    <w:rsid w:val="00D55343"/>
    <w:rsid w:val="00D576C4"/>
    <w:rsid w:val="00D601D7"/>
    <w:rsid w:val="00D60572"/>
    <w:rsid w:val="00D60847"/>
    <w:rsid w:val="00D61316"/>
    <w:rsid w:val="00D61AAB"/>
    <w:rsid w:val="00D61E90"/>
    <w:rsid w:val="00D61F5D"/>
    <w:rsid w:val="00D61F84"/>
    <w:rsid w:val="00D6219B"/>
    <w:rsid w:val="00D62404"/>
    <w:rsid w:val="00D625BE"/>
    <w:rsid w:val="00D6263B"/>
    <w:rsid w:val="00D6301E"/>
    <w:rsid w:val="00D63655"/>
    <w:rsid w:val="00D63B1C"/>
    <w:rsid w:val="00D63CE3"/>
    <w:rsid w:val="00D64605"/>
    <w:rsid w:val="00D64749"/>
    <w:rsid w:val="00D64C92"/>
    <w:rsid w:val="00D6697C"/>
    <w:rsid w:val="00D6754E"/>
    <w:rsid w:val="00D67C24"/>
    <w:rsid w:val="00D67F11"/>
    <w:rsid w:val="00D7143C"/>
    <w:rsid w:val="00D71C02"/>
    <w:rsid w:val="00D71FAD"/>
    <w:rsid w:val="00D722C5"/>
    <w:rsid w:val="00D72387"/>
    <w:rsid w:val="00D72A0D"/>
    <w:rsid w:val="00D73D60"/>
    <w:rsid w:val="00D73EF6"/>
    <w:rsid w:val="00D74A3C"/>
    <w:rsid w:val="00D74B72"/>
    <w:rsid w:val="00D75A51"/>
    <w:rsid w:val="00D75E86"/>
    <w:rsid w:val="00D769AF"/>
    <w:rsid w:val="00D76A55"/>
    <w:rsid w:val="00D76B7B"/>
    <w:rsid w:val="00D76F35"/>
    <w:rsid w:val="00D77018"/>
    <w:rsid w:val="00D77E1E"/>
    <w:rsid w:val="00D8060C"/>
    <w:rsid w:val="00D80FF0"/>
    <w:rsid w:val="00D810EA"/>
    <w:rsid w:val="00D812E6"/>
    <w:rsid w:val="00D81526"/>
    <w:rsid w:val="00D82085"/>
    <w:rsid w:val="00D83770"/>
    <w:rsid w:val="00D83C8C"/>
    <w:rsid w:val="00D841D8"/>
    <w:rsid w:val="00D84799"/>
    <w:rsid w:val="00D84BC5"/>
    <w:rsid w:val="00D84C0B"/>
    <w:rsid w:val="00D84F2A"/>
    <w:rsid w:val="00D8503B"/>
    <w:rsid w:val="00D86975"/>
    <w:rsid w:val="00D87D9B"/>
    <w:rsid w:val="00D90C58"/>
    <w:rsid w:val="00D91DDA"/>
    <w:rsid w:val="00D924C9"/>
    <w:rsid w:val="00D930C2"/>
    <w:rsid w:val="00D933DE"/>
    <w:rsid w:val="00D93630"/>
    <w:rsid w:val="00D93736"/>
    <w:rsid w:val="00D93E65"/>
    <w:rsid w:val="00D9431F"/>
    <w:rsid w:val="00D96344"/>
    <w:rsid w:val="00D96DC6"/>
    <w:rsid w:val="00D96EA7"/>
    <w:rsid w:val="00D97388"/>
    <w:rsid w:val="00DA0830"/>
    <w:rsid w:val="00DA1721"/>
    <w:rsid w:val="00DA1A12"/>
    <w:rsid w:val="00DA2549"/>
    <w:rsid w:val="00DA2B06"/>
    <w:rsid w:val="00DA432C"/>
    <w:rsid w:val="00DA478E"/>
    <w:rsid w:val="00DA55B8"/>
    <w:rsid w:val="00DA6FE0"/>
    <w:rsid w:val="00DB0DE3"/>
    <w:rsid w:val="00DB0F0A"/>
    <w:rsid w:val="00DB1E61"/>
    <w:rsid w:val="00DB1F0C"/>
    <w:rsid w:val="00DB200F"/>
    <w:rsid w:val="00DB4ECA"/>
    <w:rsid w:val="00DB5721"/>
    <w:rsid w:val="00DB64F2"/>
    <w:rsid w:val="00DB7504"/>
    <w:rsid w:val="00DB79B2"/>
    <w:rsid w:val="00DC05DF"/>
    <w:rsid w:val="00DC0DD6"/>
    <w:rsid w:val="00DC0E7E"/>
    <w:rsid w:val="00DC0F3E"/>
    <w:rsid w:val="00DC259B"/>
    <w:rsid w:val="00DC476C"/>
    <w:rsid w:val="00DC5162"/>
    <w:rsid w:val="00DC6970"/>
    <w:rsid w:val="00DC752C"/>
    <w:rsid w:val="00DC7F8A"/>
    <w:rsid w:val="00DD0E77"/>
    <w:rsid w:val="00DD1527"/>
    <w:rsid w:val="00DD2021"/>
    <w:rsid w:val="00DD283A"/>
    <w:rsid w:val="00DD2D83"/>
    <w:rsid w:val="00DD42F2"/>
    <w:rsid w:val="00DD44AE"/>
    <w:rsid w:val="00DD468D"/>
    <w:rsid w:val="00DD5180"/>
    <w:rsid w:val="00DD535C"/>
    <w:rsid w:val="00DD54C5"/>
    <w:rsid w:val="00DD59B0"/>
    <w:rsid w:val="00DD68F1"/>
    <w:rsid w:val="00DD77AB"/>
    <w:rsid w:val="00DD7AE9"/>
    <w:rsid w:val="00DD7BC9"/>
    <w:rsid w:val="00DE01F4"/>
    <w:rsid w:val="00DE0620"/>
    <w:rsid w:val="00DE0F22"/>
    <w:rsid w:val="00DE3FE4"/>
    <w:rsid w:val="00DE55AD"/>
    <w:rsid w:val="00DE77ED"/>
    <w:rsid w:val="00DE79D4"/>
    <w:rsid w:val="00DF03C2"/>
    <w:rsid w:val="00DF0E10"/>
    <w:rsid w:val="00DF19AD"/>
    <w:rsid w:val="00DF2150"/>
    <w:rsid w:val="00DF3DFE"/>
    <w:rsid w:val="00DF48C6"/>
    <w:rsid w:val="00DF4E0A"/>
    <w:rsid w:val="00DF4FB1"/>
    <w:rsid w:val="00DF55AF"/>
    <w:rsid w:val="00DF64E9"/>
    <w:rsid w:val="00DF726C"/>
    <w:rsid w:val="00DF7646"/>
    <w:rsid w:val="00DF7785"/>
    <w:rsid w:val="00DF793C"/>
    <w:rsid w:val="00DF7EC3"/>
    <w:rsid w:val="00E002C8"/>
    <w:rsid w:val="00E015E3"/>
    <w:rsid w:val="00E01D6D"/>
    <w:rsid w:val="00E02981"/>
    <w:rsid w:val="00E02F33"/>
    <w:rsid w:val="00E033BC"/>
    <w:rsid w:val="00E0461E"/>
    <w:rsid w:val="00E054AC"/>
    <w:rsid w:val="00E05991"/>
    <w:rsid w:val="00E1017D"/>
    <w:rsid w:val="00E12105"/>
    <w:rsid w:val="00E13C0C"/>
    <w:rsid w:val="00E13D48"/>
    <w:rsid w:val="00E1575D"/>
    <w:rsid w:val="00E160CC"/>
    <w:rsid w:val="00E17465"/>
    <w:rsid w:val="00E17652"/>
    <w:rsid w:val="00E17855"/>
    <w:rsid w:val="00E17BE9"/>
    <w:rsid w:val="00E20617"/>
    <w:rsid w:val="00E20F56"/>
    <w:rsid w:val="00E21485"/>
    <w:rsid w:val="00E21AC2"/>
    <w:rsid w:val="00E21BCD"/>
    <w:rsid w:val="00E22B89"/>
    <w:rsid w:val="00E22E79"/>
    <w:rsid w:val="00E23753"/>
    <w:rsid w:val="00E24E28"/>
    <w:rsid w:val="00E25066"/>
    <w:rsid w:val="00E254B7"/>
    <w:rsid w:val="00E25CE9"/>
    <w:rsid w:val="00E26B9D"/>
    <w:rsid w:val="00E303FB"/>
    <w:rsid w:val="00E309F6"/>
    <w:rsid w:val="00E313F4"/>
    <w:rsid w:val="00E315B2"/>
    <w:rsid w:val="00E32301"/>
    <w:rsid w:val="00E3306A"/>
    <w:rsid w:val="00E34645"/>
    <w:rsid w:val="00E3472A"/>
    <w:rsid w:val="00E3697C"/>
    <w:rsid w:val="00E37790"/>
    <w:rsid w:val="00E37A8C"/>
    <w:rsid w:val="00E37AD4"/>
    <w:rsid w:val="00E40085"/>
    <w:rsid w:val="00E419A8"/>
    <w:rsid w:val="00E41BE2"/>
    <w:rsid w:val="00E42DD5"/>
    <w:rsid w:val="00E43A73"/>
    <w:rsid w:val="00E444C7"/>
    <w:rsid w:val="00E45078"/>
    <w:rsid w:val="00E454C7"/>
    <w:rsid w:val="00E470E0"/>
    <w:rsid w:val="00E502C1"/>
    <w:rsid w:val="00E50BA4"/>
    <w:rsid w:val="00E50C29"/>
    <w:rsid w:val="00E50CB9"/>
    <w:rsid w:val="00E50F70"/>
    <w:rsid w:val="00E51476"/>
    <w:rsid w:val="00E54666"/>
    <w:rsid w:val="00E54C51"/>
    <w:rsid w:val="00E5588D"/>
    <w:rsid w:val="00E569FF"/>
    <w:rsid w:val="00E5714A"/>
    <w:rsid w:val="00E60900"/>
    <w:rsid w:val="00E60FAF"/>
    <w:rsid w:val="00E622CC"/>
    <w:rsid w:val="00E62E7C"/>
    <w:rsid w:val="00E64963"/>
    <w:rsid w:val="00E6526F"/>
    <w:rsid w:val="00E65706"/>
    <w:rsid w:val="00E65B79"/>
    <w:rsid w:val="00E66666"/>
    <w:rsid w:val="00E66A34"/>
    <w:rsid w:val="00E67A74"/>
    <w:rsid w:val="00E70CA0"/>
    <w:rsid w:val="00E71162"/>
    <w:rsid w:val="00E71EB0"/>
    <w:rsid w:val="00E730D4"/>
    <w:rsid w:val="00E73FF6"/>
    <w:rsid w:val="00E74971"/>
    <w:rsid w:val="00E75042"/>
    <w:rsid w:val="00E76062"/>
    <w:rsid w:val="00E76162"/>
    <w:rsid w:val="00E76A8A"/>
    <w:rsid w:val="00E77793"/>
    <w:rsid w:val="00E77F23"/>
    <w:rsid w:val="00E81127"/>
    <w:rsid w:val="00E8289B"/>
    <w:rsid w:val="00E83056"/>
    <w:rsid w:val="00E83475"/>
    <w:rsid w:val="00E83CCC"/>
    <w:rsid w:val="00E84474"/>
    <w:rsid w:val="00E84B71"/>
    <w:rsid w:val="00E8555F"/>
    <w:rsid w:val="00E858BA"/>
    <w:rsid w:val="00E8591A"/>
    <w:rsid w:val="00E86964"/>
    <w:rsid w:val="00E87033"/>
    <w:rsid w:val="00E876B9"/>
    <w:rsid w:val="00E9021D"/>
    <w:rsid w:val="00E91B1E"/>
    <w:rsid w:val="00E92264"/>
    <w:rsid w:val="00E93159"/>
    <w:rsid w:val="00E932BE"/>
    <w:rsid w:val="00E9386A"/>
    <w:rsid w:val="00E94A7D"/>
    <w:rsid w:val="00E94C4C"/>
    <w:rsid w:val="00E958C7"/>
    <w:rsid w:val="00E9643D"/>
    <w:rsid w:val="00E96B31"/>
    <w:rsid w:val="00E97601"/>
    <w:rsid w:val="00E97973"/>
    <w:rsid w:val="00EA003E"/>
    <w:rsid w:val="00EA0AF2"/>
    <w:rsid w:val="00EA19ED"/>
    <w:rsid w:val="00EA1B7A"/>
    <w:rsid w:val="00EA32F1"/>
    <w:rsid w:val="00EA38A4"/>
    <w:rsid w:val="00EA3C75"/>
    <w:rsid w:val="00EA44B5"/>
    <w:rsid w:val="00EA58CE"/>
    <w:rsid w:val="00EA58E2"/>
    <w:rsid w:val="00EA5C8C"/>
    <w:rsid w:val="00EA65A1"/>
    <w:rsid w:val="00EA750B"/>
    <w:rsid w:val="00EB10E4"/>
    <w:rsid w:val="00EB1396"/>
    <w:rsid w:val="00EB18FC"/>
    <w:rsid w:val="00EB1E59"/>
    <w:rsid w:val="00EB276F"/>
    <w:rsid w:val="00EB3611"/>
    <w:rsid w:val="00EB3771"/>
    <w:rsid w:val="00EB43B2"/>
    <w:rsid w:val="00EB4709"/>
    <w:rsid w:val="00EB49DE"/>
    <w:rsid w:val="00EB4DE3"/>
    <w:rsid w:val="00EB4E7A"/>
    <w:rsid w:val="00EB4F86"/>
    <w:rsid w:val="00EB58D2"/>
    <w:rsid w:val="00EB7E79"/>
    <w:rsid w:val="00EC00BF"/>
    <w:rsid w:val="00EC068B"/>
    <w:rsid w:val="00EC06CB"/>
    <w:rsid w:val="00EC2B83"/>
    <w:rsid w:val="00EC5718"/>
    <w:rsid w:val="00EC5A51"/>
    <w:rsid w:val="00EC5F25"/>
    <w:rsid w:val="00EC62BF"/>
    <w:rsid w:val="00EC6626"/>
    <w:rsid w:val="00ED3BF7"/>
    <w:rsid w:val="00ED3C55"/>
    <w:rsid w:val="00ED41D3"/>
    <w:rsid w:val="00ED455D"/>
    <w:rsid w:val="00ED481C"/>
    <w:rsid w:val="00ED4DAC"/>
    <w:rsid w:val="00ED532F"/>
    <w:rsid w:val="00ED618E"/>
    <w:rsid w:val="00ED66A0"/>
    <w:rsid w:val="00ED67D6"/>
    <w:rsid w:val="00ED6C5B"/>
    <w:rsid w:val="00ED6E18"/>
    <w:rsid w:val="00ED7645"/>
    <w:rsid w:val="00ED78D5"/>
    <w:rsid w:val="00EE057F"/>
    <w:rsid w:val="00EE07F8"/>
    <w:rsid w:val="00EE0ECD"/>
    <w:rsid w:val="00EE1791"/>
    <w:rsid w:val="00EE1E11"/>
    <w:rsid w:val="00EE28A1"/>
    <w:rsid w:val="00EE30CA"/>
    <w:rsid w:val="00EE4050"/>
    <w:rsid w:val="00EE409B"/>
    <w:rsid w:val="00EE4B30"/>
    <w:rsid w:val="00EE5054"/>
    <w:rsid w:val="00EE574D"/>
    <w:rsid w:val="00EE5B9E"/>
    <w:rsid w:val="00EE6750"/>
    <w:rsid w:val="00EE70B5"/>
    <w:rsid w:val="00EE76CB"/>
    <w:rsid w:val="00EE7A22"/>
    <w:rsid w:val="00EE7F2C"/>
    <w:rsid w:val="00EF00E5"/>
    <w:rsid w:val="00EF033F"/>
    <w:rsid w:val="00EF0E6E"/>
    <w:rsid w:val="00EF35CF"/>
    <w:rsid w:val="00EF364D"/>
    <w:rsid w:val="00EF38D9"/>
    <w:rsid w:val="00EF3BAC"/>
    <w:rsid w:val="00EF3D46"/>
    <w:rsid w:val="00EF5015"/>
    <w:rsid w:val="00EF5655"/>
    <w:rsid w:val="00EF5704"/>
    <w:rsid w:val="00EF5C98"/>
    <w:rsid w:val="00EF614B"/>
    <w:rsid w:val="00EF6E10"/>
    <w:rsid w:val="00EF7658"/>
    <w:rsid w:val="00EF79C3"/>
    <w:rsid w:val="00F00053"/>
    <w:rsid w:val="00F00576"/>
    <w:rsid w:val="00F0113A"/>
    <w:rsid w:val="00F01A55"/>
    <w:rsid w:val="00F02C9B"/>
    <w:rsid w:val="00F04716"/>
    <w:rsid w:val="00F0486F"/>
    <w:rsid w:val="00F048C8"/>
    <w:rsid w:val="00F04A18"/>
    <w:rsid w:val="00F04BC5"/>
    <w:rsid w:val="00F04F41"/>
    <w:rsid w:val="00F05C5C"/>
    <w:rsid w:val="00F062BA"/>
    <w:rsid w:val="00F06690"/>
    <w:rsid w:val="00F0725F"/>
    <w:rsid w:val="00F075B5"/>
    <w:rsid w:val="00F075DF"/>
    <w:rsid w:val="00F075EE"/>
    <w:rsid w:val="00F11A18"/>
    <w:rsid w:val="00F12398"/>
    <w:rsid w:val="00F12EE0"/>
    <w:rsid w:val="00F135D8"/>
    <w:rsid w:val="00F137A5"/>
    <w:rsid w:val="00F16226"/>
    <w:rsid w:val="00F165DD"/>
    <w:rsid w:val="00F1705B"/>
    <w:rsid w:val="00F174AD"/>
    <w:rsid w:val="00F17A23"/>
    <w:rsid w:val="00F17D08"/>
    <w:rsid w:val="00F17F67"/>
    <w:rsid w:val="00F210F1"/>
    <w:rsid w:val="00F2134D"/>
    <w:rsid w:val="00F21704"/>
    <w:rsid w:val="00F2171E"/>
    <w:rsid w:val="00F219BD"/>
    <w:rsid w:val="00F21EE4"/>
    <w:rsid w:val="00F21F58"/>
    <w:rsid w:val="00F2213E"/>
    <w:rsid w:val="00F229D0"/>
    <w:rsid w:val="00F237A4"/>
    <w:rsid w:val="00F241C4"/>
    <w:rsid w:val="00F25031"/>
    <w:rsid w:val="00F25D72"/>
    <w:rsid w:val="00F25E53"/>
    <w:rsid w:val="00F2685A"/>
    <w:rsid w:val="00F26CC8"/>
    <w:rsid w:val="00F26FD1"/>
    <w:rsid w:val="00F27C32"/>
    <w:rsid w:val="00F27F8D"/>
    <w:rsid w:val="00F27F9C"/>
    <w:rsid w:val="00F3078C"/>
    <w:rsid w:val="00F30C7A"/>
    <w:rsid w:val="00F33BA3"/>
    <w:rsid w:val="00F34CAB"/>
    <w:rsid w:val="00F3556A"/>
    <w:rsid w:val="00F35B96"/>
    <w:rsid w:val="00F35E14"/>
    <w:rsid w:val="00F3729A"/>
    <w:rsid w:val="00F407CD"/>
    <w:rsid w:val="00F4089C"/>
    <w:rsid w:val="00F41A54"/>
    <w:rsid w:val="00F42FC7"/>
    <w:rsid w:val="00F4309D"/>
    <w:rsid w:val="00F43447"/>
    <w:rsid w:val="00F43FC7"/>
    <w:rsid w:val="00F450B8"/>
    <w:rsid w:val="00F46362"/>
    <w:rsid w:val="00F465B1"/>
    <w:rsid w:val="00F47848"/>
    <w:rsid w:val="00F507E8"/>
    <w:rsid w:val="00F50A80"/>
    <w:rsid w:val="00F50C7E"/>
    <w:rsid w:val="00F50D57"/>
    <w:rsid w:val="00F50E1B"/>
    <w:rsid w:val="00F528E7"/>
    <w:rsid w:val="00F537A0"/>
    <w:rsid w:val="00F542F4"/>
    <w:rsid w:val="00F5561C"/>
    <w:rsid w:val="00F5670C"/>
    <w:rsid w:val="00F56C28"/>
    <w:rsid w:val="00F56E57"/>
    <w:rsid w:val="00F56F2B"/>
    <w:rsid w:val="00F57805"/>
    <w:rsid w:val="00F57B9B"/>
    <w:rsid w:val="00F607B5"/>
    <w:rsid w:val="00F60AB8"/>
    <w:rsid w:val="00F60F55"/>
    <w:rsid w:val="00F61718"/>
    <w:rsid w:val="00F61B14"/>
    <w:rsid w:val="00F63AA3"/>
    <w:rsid w:val="00F65823"/>
    <w:rsid w:val="00F66944"/>
    <w:rsid w:val="00F6712F"/>
    <w:rsid w:val="00F67B72"/>
    <w:rsid w:val="00F7031A"/>
    <w:rsid w:val="00F71469"/>
    <w:rsid w:val="00F7154C"/>
    <w:rsid w:val="00F71CB9"/>
    <w:rsid w:val="00F71F81"/>
    <w:rsid w:val="00F725C8"/>
    <w:rsid w:val="00F73787"/>
    <w:rsid w:val="00F746A2"/>
    <w:rsid w:val="00F74FF9"/>
    <w:rsid w:val="00F751CD"/>
    <w:rsid w:val="00F76143"/>
    <w:rsid w:val="00F768EA"/>
    <w:rsid w:val="00F76D06"/>
    <w:rsid w:val="00F76E46"/>
    <w:rsid w:val="00F774F5"/>
    <w:rsid w:val="00F77FBF"/>
    <w:rsid w:val="00F81307"/>
    <w:rsid w:val="00F81B92"/>
    <w:rsid w:val="00F81D71"/>
    <w:rsid w:val="00F826FA"/>
    <w:rsid w:val="00F82C9C"/>
    <w:rsid w:val="00F82CB1"/>
    <w:rsid w:val="00F83E98"/>
    <w:rsid w:val="00F83F9B"/>
    <w:rsid w:val="00F84B76"/>
    <w:rsid w:val="00F85394"/>
    <w:rsid w:val="00F867A7"/>
    <w:rsid w:val="00F86A46"/>
    <w:rsid w:val="00F86AC6"/>
    <w:rsid w:val="00F87161"/>
    <w:rsid w:val="00F90237"/>
    <w:rsid w:val="00F916CA"/>
    <w:rsid w:val="00F935D9"/>
    <w:rsid w:val="00F936F8"/>
    <w:rsid w:val="00F94554"/>
    <w:rsid w:val="00F950FC"/>
    <w:rsid w:val="00F96974"/>
    <w:rsid w:val="00F9718E"/>
    <w:rsid w:val="00FA0015"/>
    <w:rsid w:val="00FA1038"/>
    <w:rsid w:val="00FA195E"/>
    <w:rsid w:val="00FA2D7B"/>
    <w:rsid w:val="00FA2F30"/>
    <w:rsid w:val="00FA3A39"/>
    <w:rsid w:val="00FA3D0F"/>
    <w:rsid w:val="00FA56CE"/>
    <w:rsid w:val="00FA614B"/>
    <w:rsid w:val="00FA7183"/>
    <w:rsid w:val="00FA71C6"/>
    <w:rsid w:val="00FA71F9"/>
    <w:rsid w:val="00FA7200"/>
    <w:rsid w:val="00FA778E"/>
    <w:rsid w:val="00FA7D97"/>
    <w:rsid w:val="00FB0903"/>
    <w:rsid w:val="00FB19BF"/>
    <w:rsid w:val="00FB1AC2"/>
    <w:rsid w:val="00FB1D26"/>
    <w:rsid w:val="00FB3D25"/>
    <w:rsid w:val="00FB3FA4"/>
    <w:rsid w:val="00FB4404"/>
    <w:rsid w:val="00FB454A"/>
    <w:rsid w:val="00FB5406"/>
    <w:rsid w:val="00FB7092"/>
    <w:rsid w:val="00FB7BD6"/>
    <w:rsid w:val="00FC1656"/>
    <w:rsid w:val="00FC18B9"/>
    <w:rsid w:val="00FC41CA"/>
    <w:rsid w:val="00FC41D6"/>
    <w:rsid w:val="00FC446D"/>
    <w:rsid w:val="00FC4B99"/>
    <w:rsid w:val="00FC57E0"/>
    <w:rsid w:val="00FC5D0D"/>
    <w:rsid w:val="00FC6598"/>
    <w:rsid w:val="00FC685C"/>
    <w:rsid w:val="00FD16C2"/>
    <w:rsid w:val="00FD2353"/>
    <w:rsid w:val="00FD4349"/>
    <w:rsid w:val="00FD57F5"/>
    <w:rsid w:val="00FD5DDC"/>
    <w:rsid w:val="00FD78E4"/>
    <w:rsid w:val="00FD7E47"/>
    <w:rsid w:val="00FE1E68"/>
    <w:rsid w:val="00FE240A"/>
    <w:rsid w:val="00FE24A1"/>
    <w:rsid w:val="00FE25D8"/>
    <w:rsid w:val="00FE3119"/>
    <w:rsid w:val="00FE47A2"/>
    <w:rsid w:val="00FE48D3"/>
    <w:rsid w:val="00FE54D2"/>
    <w:rsid w:val="00FE63AA"/>
    <w:rsid w:val="00FE7418"/>
    <w:rsid w:val="00FE742F"/>
    <w:rsid w:val="00FE7A23"/>
    <w:rsid w:val="00FE7EF5"/>
    <w:rsid w:val="00FF0A67"/>
    <w:rsid w:val="00FF0E28"/>
    <w:rsid w:val="00FF0EB8"/>
    <w:rsid w:val="00FF11C9"/>
    <w:rsid w:val="00FF18FF"/>
    <w:rsid w:val="00FF203A"/>
    <w:rsid w:val="00FF316B"/>
    <w:rsid w:val="00FF42B5"/>
    <w:rsid w:val="00FF46D0"/>
    <w:rsid w:val="00FF4768"/>
    <w:rsid w:val="00FF47A9"/>
    <w:rsid w:val="00FF594C"/>
    <w:rsid w:val="00FF68D1"/>
    <w:rsid w:val="00FF6A31"/>
    <w:rsid w:val="00FF6C75"/>
    <w:rsid w:val="00FF6D27"/>
    <w:rsid w:val="00FF6E84"/>
    <w:rsid w:val="00FF73A7"/>
    <w:rsid w:val="00FF7BDA"/>
    <w:rsid w:val="08C61352"/>
    <w:rsid w:val="08F25A43"/>
    <w:rsid w:val="0AF67330"/>
    <w:rsid w:val="0BBD68C2"/>
    <w:rsid w:val="0FE742F7"/>
    <w:rsid w:val="16273291"/>
    <w:rsid w:val="18542882"/>
    <w:rsid w:val="208D1280"/>
    <w:rsid w:val="252165E0"/>
    <w:rsid w:val="27CB7921"/>
    <w:rsid w:val="2B373B1E"/>
    <w:rsid w:val="2CB643F4"/>
    <w:rsid w:val="31534E89"/>
    <w:rsid w:val="31B9630D"/>
    <w:rsid w:val="33484B1B"/>
    <w:rsid w:val="3BA30B61"/>
    <w:rsid w:val="40407FA2"/>
    <w:rsid w:val="424A094C"/>
    <w:rsid w:val="49E25E2E"/>
    <w:rsid w:val="4BBD4712"/>
    <w:rsid w:val="4E0D7386"/>
    <w:rsid w:val="50AF18C0"/>
    <w:rsid w:val="528E3F2A"/>
    <w:rsid w:val="57AA1051"/>
    <w:rsid w:val="5B2B6D26"/>
    <w:rsid w:val="5C4878E5"/>
    <w:rsid w:val="660C38B8"/>
    <w:rsid w:val="67A71A2A"/>
    <w:rsid w:val="67EA527B"/>
    <w:rsid w:val="6946316D"/>
    <w:rsid w:val="6D1C144C"/>
    <w:rsid w:val="794A3565"/>
    <w:rsid w:val="7AE40D50"/>
    <w:rsid w:val="7C680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qFormat="1" w:unhideWhenUsed="0" w:uiPriority="0" w:semiHidden="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qFormat="1" w:unhideWhenUsed="0" w:uiPriority="0" w:semiHidden="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4"/>
    <w:qFormat/>
    <w:uiPriority w:val="0"/>
    <w:pPr>
      <w:keepNext/>
      <w:keepLines/>
      <w:spacing w:before="340" w:after="330" w:line="578" w:lineRule="auto"/>
      <w:outlineLvl w:val="0"/>
    </w:pPr>
    <w:rPr>
      <w:rFonts w:ascii="仿宋_GB2312" w:hAnsi="宋体" w:eastAsia="仿宋_GB2312"/>
      <w:b/>
      <w:bCs/>
      <w:snapToGrid w:val="0"/>
      <w:kern w:val="44"/>
      <w:sz w:val="44"/>
      <w:szCs w:val="44"/>
    </w:rPr>
  </w:style>
  <w:style w:type="paragraph" w:styleId="3">
    <w:name w:val="heading 2"/>
    <w:basedOn w:val="1"/>
    <w:next w:val="1"/>
    <w:link w:val="8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56"/>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link w:val="57"/>
    <w:qFormat/>
    <w:uiPriority w:val="0"/>
    <w:pPr>
      <w:keepNext/>
      <w:keepLines/>
      <w:spacing w:before="280" w:after="290" w:line="376" w:lineRule="auto"/>
      <w:outlineLvl w:val="3"/>
    </w:pPr>
    <w:rPr>
      <w:rFonts w:ascii="Arial" w:hAnsi="Arial" w:eastAsia="黑体"/>
      <w:b/>
      <w:bCs/>
      <w:sz w:val="28"/>
      <w:szCs w:val="28"/>
    </w:rPr>
  </w:style>
  <w:style w:type="paragraph" w:styleId="7">
    <w:name w:val="heading 6"/>
    <w:basedOn w:val="1"/>
    <w:next w:val="1"/>
    <w:link w:val="58"/>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rPr>
  </w:style>
  <w:style w:type="paragraph" w:styleId="8">
    <w:name w:val="heading 7"/>
    <w:basedOn w:val="1"/>
    <w:next w:val="1"/>
    <w:link w:val="59"/>
    <w:qFormat/>
    <w:uiPriority w:val="0"/>
    <w:pPr>
      <w:keepNext/>
      <w:keepLines/>
      <w:widowControl/>
      <w:numPr>
        <w:ilvl w:val="6"/>
        <w:numId w:val="1"/>
      </w:numPr>
      <w:spacing w:before="240" w:after="64" w:line="320" w:lineRule="auto"/>
      <w:jc w:val="left"/>
      <w:outlineLvl w:val="6"/>
    </w:pPr>
    <w:rPr>
      <w:b/>
      <w:bCs/>
      <w:kern w:val="0"/>
      <w:sz w:val="24"/>
    </w:rPr>
  </w:style>
  <w:style w:type="paragraph" w:styleId="9">
    <w:name w:val="heading 8"/>
    <w:basedOn w:val="1"/>
    <w:next w:val="1"/>
    <w:link w:val="60"/>
    <w:qFormat/>
    <w:uiPriority w:val="0"/>
    <w:pPr>
      <w:keepNext/>
      <w:keepLines/>
      <w:widowControl/>
      <w:numPr>
        <w:ilvl w:val="7"/>
        <w:numId w:val="1"/>
      </w:numPr>
      <w:spacing w:before="240" w:after="64" w:line="320" w:lineRule="auto"/>
      <w:jc w:val="left"/>
      <w:outlineLvl w:val="7"/>
    </w:pPr>
    <w:rPr>
      <w:rFonts w:ascii="Arial" w:hAnsi="Arial" w:eastAsia="黑体"/>
      <w:kern w:val="0"/>
      <w:sz w:val="24"/>
    </w:rPr>
  </w:style>
  <w:style w:type="paragraph" w:styleId="10">
    <w:name w:val="heading 9"/>
    <w:basedOn w:val="1"/>
    <w:next w:val="1"/>
    <w:link w:val="61"/>
    <w:qFormat/>
    <w:uiPriority w:val="0"/>
    <w:pPr>
      <w:keepNext/>
      <w:keepLines/>
      <w:widowControl/>
      <w:numPr>
        <w:ilvl w:val="8"/>
        <w:numId w:val="1"/>
      </w:numPr>
      <w:spacing w:before="240" w:after="64" w:line="320" w:lineRule="auto"/>
      <w:jc w:val="left"/>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89"/>
    <w:qFormat/>
    <w:uiPriority w:val="0"/>
    <w:pPr>
      <w:adjustRightInd w:val="0"/>
      <w:ind w:firstLine="420"/>
      <w:jc w:val="left"/>
      <w:textAlignment w:val="baseline"/>
    </w:pPr>
    <w:rPr>
      <w:rFonts w:eastAsia="楷体_GB2312"/>
      <w:sz w:val="24"/>
      <w:szCs w:val="20"/>
    </w:rPr>
  </w:style>
  <w:style w:type="paragraph" w:styleId="11">
    <w:name w:val="List 3"/>
    <w:basedOn w:val="1"/>
    <w:qFormat/>
    <w:uiPriority w:val="0"/>
    <w:pPr>
      <w:ind w:left="100" w:leftChars="400" w:hanging="200" w:hangingChars="200"/>
    </w:pPr>
  </w:style>
  <w:style w:type="paragraph" w:styleId="12">
    <w:name w:val="toc 7"/>
    <w:basedOn w:val="1"/>
    <w:next w:val="1"/>
    <w:autoRedefine/>
    <w:qFormat/>
    <w:uiPriority w:val="0"/>
    <w:pPr>
      <w:ind w:left="2520" w:leftChars="1200"/>
    </w:pPr>
  </w:style>
  <w:style w:type="paragraph" w:styleId="13">
    <w:name w:val="Document Map"/>
    <w:basedOn w:val="1"/>
    <w:link w:val="73"/>
    <w:qFormat/>
    <w:uiPriority w:val="0"/>
    <w:pPr>
      <w:shd w:val="clear" w:color="auto" w:fill="000080"/>
    </w:pPr>
  </w:style>
  <w:style w:type="paragraph" w:styleId="14">
    <w:name w:val="annotation text"/>
    <w:basedOn w:val="1"/>
    <w:link w:val="76"/>
    <w:qFormat/>
    <w:uiPriority w:val="0"/>
    <w:pPr>
      <w:jc w:val="left"/>
    </w:pPr>
    <w:rPr>
      <w:szCs w:val="20"/>
    </w:rPr>
  </w:style>
  <w:style w:type="paragraph" w:styleId="15">
    <w:name w:val="Body Text 3"/>
    <w:basedOn w:val="1"/>
    <w:link w:val="68"/>
    <w:qFormat/>
    <w:uiPriority w:val="0"/>
    <w:pPr>
      <w:spacing w:after="120"/>
    </w:pPr>
    <w:rPr>
      <w:sz w:val="16"/>
      <w:szCs w:val="16"/>
    </w:rPr>
  </w:style>
  <w:style w:type="paragraph" w:styleId="16">
    <w:name w:val="Body Text"/>
    <w:basedOn w:val="1"/>
    <w:link w:val="62"/>
    <w:qFormat/>
    <w:uiPriority w:val="0"/>
    <w:pPr>
      <w:spacing w:line="360" w:lineRule="auto"/>
    </w:pPr>
    <w:rPr>
      <w:b/>
      <w:bCs/>
      <w:sz w:val="24"/>
      <w:szCs w:val="20"/>
    </w:rPr>
  </w:style>
  <w:style w:type="paragraph" w:styleId="17">
    <w:name w:val="Body Text Indent"/>
    <w:basedOn w:val="1"/>
    <w:link w:val="64"/>
    <w:qFormat/>
    <w:uiPriority w:val="0"/>
    <w:pPr>
      <w:ind w:firstLine="600" w:firstLineChars="200"/>
    </w:pPr>
    <w:rPr>
      <w:rFonts w:ascii="仿宋_GB2312" w:eastAsia="仿宋_GB2312"/>
      <w:sz w:val="30"/>
      <w:szCs w:val="20"/>
    </w:rPr>
  </w:style>
  <w:style w:type="paragraph" w:styleId="18">
    <w:name w:val="List 2"/>
    <w:basedOn w:val="1"/>
    <w:qFormat/>
    <w:uiPriority w:val="0"/>
    <w:pPr>
      <w:ind w:left="100" w:leftChars="200" w:hanging="200" w:hangingChars="200"/>
    </w:pPr>
  </w:style>
  <w:style w:type="paragraph" w:styleId="19">
    <w:name w:val="toc 5"/>
    <w:basedOn w:val="1"/>
    <w:next w:val="1"/>
    <w:autoRedefine/>
    <w:qFormat/>
    <w:uiPriority w:val="0"/>
    <w:pPr>
      <w:ind w:left="1680" w:leftChars="800"/>
    </w:pPr>
  </w:style>
  <w:style w:type="paragraph" w:styleId="20">
    <w:name w:val="toc 3"/>
    <w:basedOn w:val="1"/>
    <w:next w:val="1"/>
    <w:autoRedefine/>
    <w:qFormat/>
    <w:uiPriority w:val="0"/>
    <w:pPr>
      <w:ind w:left="840" w:leftChars="400"/>
    </w:pPr>
    <w:rPr>
      <w:szCs w:val="20"/>
    </w:rPr>
  </w:style>
  <w:style w:type="paragraph" w:styleId="21">
    <w:name w:val="Plain Text"/>
    <w:basedOn w:val="1"/>
    <w:link w:val="70"/>
    <w:qFormat/>
    <w:uiPriority w:val="0"/>
    <w:rPr>
      <w:rFonts w:hint="eastAsia" w:ascii="宋体" w:hAnsi="Courier New"/>
      <w:szCs w:val="21"/>
    </w:rPr>
  </w:style>
  <w:style w:type="paragraph" w:styleId="22">
    <w:name w:val="toc 8"/>
    <w:basedOn w:val="1"/>
    <w:next w:val="1"/>
    <w:autoRedefine/>
    <w:qFormat/>
    <w:uiPriority w:val="0"/>
    <w:pPr>
      <w:ind w:left="2940" w:leftChars="1400"/>
    </w:pPr>
  </w:style>
  <w:style w:type="paragraph" w:styleId="23">
    <w:name w:val="Date"/>
    <w:basedOn w:val="1"/>
    <w:next w:val="1"/>
    <w:link w:val="84"/>
    <w:qFormat/>
    <w:uiPriority w:val="0"/>
    <w:pPr>
      <w:widowControl/>
    </w:pPr>
    <w:rPr>
      <w:rFonts w:ascii="宋体"/>
      <w:kern w:val="0"/>
      <w:sz w:val="30"/>
      <w:szCs w:val="20"/>
    </w:rPr>
  </w:style>
  <w:style w:type="paragraph" w:styleId="24">
    <w:name w:val="Body Text Indent 2"/>
    <w:basedOn w:val="1"/>
    <w:link w:val="81"/>
    <w:qFormat/>
    <w:uiPriority w:val="0"/>
    <w:pPr>
      <w:spacing w:after="120" w:line="480" w:lineRule="auto"/>
      <w:ind w:left="420" w:leftChars="200"/>
    </w:pPr>
  </w:style>
  <w:style w:type="paragraph" w:styleId="25">
    <w:name w:val="Balloon Text"/>
    <w:basedOn w:val="1"/>
    <w:link w:val="91"/>
    <w:semiHidden/>
    <w:qFormat/>
    <w:uiPriority w:val="0"/>
    <w:rPr>
      <w:sz w:val="18"/>
      <w:szCs w:val="18"/>
    </w:rPr>
  </w:style>
  <w:style w:type="paragraph" w:styleId="26">
    <w:name w:val="footer"/>
    <w:basedOn w:val="1"/>
    <w:link w:val="75"/>
    <w:qFormat/>
    <w:uiPriority w:val="99"/>
    <w:pPr>
      <w:tabs>
        <w:tab w:val="center" w:pos="4153"/>
        <w:tab w:val="right" w:pos="8306"/>
      </w:tabs>
      <w:snapToGrid w:val="0"/>
      <w:jc w:val="left"/>
    </w:pPr>
    <w:rPr>
      <w:sz w:val="18"/>
      <w:szCs w:val="20"/>
    </w:rPr>
  </w:style>
  <w:style w:type="paragraph" w:styleId="27">
    <w:name w:val="header"/>
    <w:basedOn w:val="1"/>
    <w:link w:val="74"/>
    <w:qFormat/>
    <w:uiPriority w:val="0"/>
    <w:pPr>
      <w:pBdr>
        <w:bottom w:val="single" w:color="auto" w:sz="6" w:space="1"/>
      </w:pBdr>
      <w:tabs>
        <w:tab w:val="center" w:pos="4153"/>
        <w:tab w:val="right" w:pos="8306"/>
      </w:tabs>
      <w:snapToGrid w:val="0"/>
      <w:jc w:val="center"/>
    </w:pPr>
    <w:rPr>
      <w:sz w:val="18"/>
      <w:szCs w:val="20"/>
    </w:rPr>
  </w:style>
  <w:style w:type="paragraph" w:styleId="28">
    <w:name w:val="toc 1"/>
    <w:basedOn w:val="1"/>
    <w:next w:val="1"/>
    <w:autoRedefine/>
    <w:qFormat/>
    <w:uiPriority w:val="39"/>
    <w:pPr>
      <w:tabs>
        <w:tab w:val="right" w:leader="dot" w:pos="9175"/>
      </w:tabs>
      <w:spacing w:line="360" w:lineRule="auto"/>
    </w:pPr>
    <w:rPr>
      <w:rFonts w:ascii="宋体" w:hAnsi="宋体"/>
      <w:color w:val="FF0000"/>
      <w:sz w:val="28"/>
      <w:szCs w:val="20"/>
    </w:rPr>
  </w:style>
  <w:style w:type="paragraph" w:styleId="29">
    <w:name w:val="toc 4"/>
    <w:basedOn w:val="1"/>
    <w:next w:val="1"/>
    <w:autoRedefine/>
    <w:qFormat/>
    <w:uiPriority w:val="0"/>
    <w:pPr>
      <w:ind w:left="1260" w:leftChars="600"/>
    </w:pPr>
  </w:style>
  <w:style w:type="paragraph" w:styleId="30">
    <w:name w:val="List"/>
    <w:basedOn w:val="1"/>
    <w:qFormat/>
    <w:uiPriority w:val="0"/>
    <w:pPr>
      <w:ind w:left="200" w:hanging="200" w:hangingChars="200"/>
    </w:pPr>
  </w:style>
  <w:style w:type="paragraph" w:styleId="31">
    <w:name w:val="toc 6"/>
    <w:basedOn w:val="1"/>
    <w:next w:val="1"/>
    <w:autoRedefine/>
    <w:qFormat/>
    <w:uiPriority w:val="0"/>
    <w:pPr>
      <w:ind w:left="2100" w:leftChars="1000"/>
    </w:pPr>
  </w:style>
  <w:style w:type="paragraph" w:styleId="32">
    <w:name w:val="Body Text Indent 3"/>
    <w:basedOn w:val="1"/>
    <w:link w:val="82"/>
    <w:qFormat/>
    <w:uiPriority w:val="0"/>
    <w:pPr>
      <w:spacing w:after="120"/>
      <w:ind w:left="420" w:leftChars="200"/>
    </w:pPr>
    <w:rPr>
      <w:sz w:val="16"/>
      <w:szCs w:val="16"/>
    </w:rPr>
  </w:style>
  <w:style w:type="paragraph" w:styleId="33">
    <w:name w:val="toc 2"/>
    <w:basedOn w:val="1"/>
    <w:next w:val="1"/>
    <w:autoRedefine/>
    <w:qFormat/>
    <w:uiPriority w:val="39"/>
    <w:pPr>
      <w:ind w:left="420" w:leftChars="200"/>
    </w:pPr>
    <w:rPr>
      <w:szCs w:val="20"/>
    </w:rPr>
  </w:style>
  <w:style w:type="paragraph" w:styleId="34">
    <w:name w:val="toc 9"/>
    <w:basedOn w:val="1"/>
    <w:next w:val="1"/>
    <w:autoRedefine/>
    <w:qFormat/>
    <w:uiPriority w:val="0"/>
    <w:pPr>
      <w:ind w:left="3360" w:leftChars="1600"/>
    </w:pPr>
  </w:style>
  <w:style w:type="paragraph" w:styleId="35">
    <w:name w:val="Body Text 2"/>
    <w:basedOn w:val="1"/>
    <w:link w:val="83"/>
    <w:qFormat/>
    <w:uiPriority w:val="0"/>
    <w:pPr>
      <w:spacing w:line="360" w:lineRule="auto"/>
    </w:pPr>
    <w:rPr>
      <w:rFonts w:ascii="宋体" w:hAnsi="宋体"/>
      <w:sz w:val="24"/>
      <w:szCs w:val="20"/>
    </w:rPr>
  </w:style>
  <w:style w:type="paragraph" w:styleId="36">
    <w:name w:val="List Continue 2"/>
    <w:basedOn w:val="1"/>
    <w:qFormat/>
    <w:uiPriority w:val="0"/>
    <w:pPr>
      <w:spacing w:after="120"/>
      <w:ind w:left="840" w:leftChars="400"/>
    </w:pPr>
  </w:style>
  <w:style w:type="paragraph" w:styleId="3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38">
    <w:name w:val="annotation subject"/>
    <w:basedOn w:val="14"/>
    <w:next w:val="14"/>
    <w:link w:val="77"/>
    <w:qFormat/>
    <w:uiPriority w:val="0"/>
    <w:rPr>
      <w:b/>
      <w:bCs/>
    </w:rPr>
  </w:style>
  <w:style w:type="paragraph" w:styleId="39">
    <w:name w:val="Body Text First Indent"/>
    <w:basedOn w:val="16"/>
    <w:link w:val="63"/>
    <w:qFormat/>
    <w:uiPriority w:val="0"/>
    <w:pPr>
      <w:spacing w:after="120" w:line="240" w:lineRule="auto"/>
      <w:ind w:firstLine="420" w:firstLineChars="100"/>
    </w:pPr>
    <w:rPr>
      <w:b w:val="0"/>
      <w:bCs w:val="0"/>
      <w:sz w:val="21"/>
      <w:szCs w:val="24"/>
    </w:rPr>
  </w:style>
  <w:style w:type="paragraph" w:styleId="40">
    <w:name w:val="Body Text First Indent 2"/>
    <w:basedOn w:val="17"/>
    <w:link w:val="65"/>
    <w:qFormat/>
    <w:uiPriority w:val="0"/>
    <w:pPr>
      <w:spacing w:after="120"/>
      <w:ind w:left="420" w:leftChars="200" w:firstLine="420"/>
    </w:pPr>
    <w:rPr>
      <w:rFonts w:ascii="Times New Roman" w:eastAsia="宋体"/>
      <w:sz w:val="21"/>
      <w:szCs w:val="24"/>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0"/>
    <w:rPr>
      <w:b/>
      <w:bCs/>
    </w:rPr>
  </w:style>
  <w:style w:type="character" w:styleId="45">
    <w:name w:val="page number"/>
    <w:basedOn w:val="43"/>
    <w:qFormat/>
    <w:uiPriority w:val="0"/>
  </w:style>
  <w:style w:type="character" w:styleId="46">
    <w:name w:val="Emphasis"/>
    <w:qFormat/>
    <w:uiPriority w:val="0"/>
  </w:style>
  <w:style w:type="character" w:styleId="47">
    <w:name w:val="Hyperlink"/>
    <w:qFormat/>
    <w:uiPriority w:val="99"/>
    <w:rPr>
      <w:color w:val="0000FF"/>
      <w:u w:val="single"/>
    </w:rPr>
  </w:style>
  <w:style w:type="character" w:styleId="48">
    <w:name w:val="annotation reference"/>
    <w:qFormat/>
    <w:uiPriority w:val="0"/>
    <w:rPr>
      <w:sz w:val="21"/>
      <w:szCs w:val="21"/>
    </w:rPr>
  </w:style>
  <w:style w:type="paragraph" w:customStyle="1" w:styleId="49">
    <w:name w:val="xl27"/>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50">
    <w:name w:val="样式2"/>
    <w:basedOn w:val="1"/>
    <w:qFormat/>
    <w:uiPriority w:val="0"/>
    <w:rPr>
      <w:rFonts w:ascii="仿宋_GB2312" w:eastAsia="仿宋_GB2312"/>
      <w:sz w:val="32"/>
      <w:szCs w:val="20"/>
    </w:rPr>
  </w:style>
  <w:style w:type="paragraph" w:customStyle="1" w:styleId="51">
    <w:name w:val="样式1"/>
    <w:basedOn w:val="1"/>
    <w:qFormat/>
    <w:uiPriority w:val="0"/>
    <w:pPr>
      <w:numPr>
        <w:ilvl w:val="1"/>
        <w:numId w:val="2"/>
      </w:numPr>
    </w:pPr>
    <w:rPr>
      <w:rFonts w:ascii="仿宋_GB2312" w:eastAsia="仿宋_GB2312"/>
      <w:sz w:val="32"/>
      <w:szCs w:val="20"/>
    </w:rPr>
  </w:style>
  <w:style w:type="paragraph" w:customStyle="1" w:styleId="52">
    <w:name w:val="默认段落字体 Para Char Char Char Char"/>
    <w:basedOn w:val="1"/>
    <w:qFormat/>
    <w:uiPriority w:val="0"/>
  </w:style>
  <w:style w:type="paragraph" w:customStyle="1" w:styleId="53">
    <w:name w:val="Char Char Char Char"/>
    <w:basedOn w:val="1"/>
    <w:autoRedefine/>
    <w:qFormat/>
    <w:uiPriority w:val="0"/>
    <w:rPr>
      <w:rFonts w:ascii="Tahoma" w:hAnsi="Tahoma"/>
      <w:sz w:val="24"/>
      <w:szCs w:val="20"/>
    </w:rPr>
  </w:style>
  <w:style w:type="character" w:customStyle="1" w:styleId="54">
    <w:name w:val="标题 1 字符"/>
    <w:link w:val="2"/>
    <w:qFormat/>
    <w:uiPriority w:val="0"/>
    <w:rPr>
      <w:rFonts w:ascii="仿宋_GB2312" w:hAnsi="宋体" w:eastAsia="仿宋_GB2312"/>
      <w:b/>
      <w:bCs/>
      <w:snapToGrid/>
      <w:kern w:val="44"/>
      <w:sz w:val="44"/>
      <w:szCs w:val="44"/>
    </w:rPr>
  </w:style>
  <w:style w:type="character" w:customStyle="1" w:styleId="55">
    <w:name w:val="标题 2 Char"/>
    <w:qFormat/>
    <w:uiPriority w:val="0"/>
    <w:rPr>
      <w:rFonts w:ascii="Cambria" w:hAnsi="Cambria" w:eastAsia="宋体" w:cs="Times New Roman"/>
      <w:b/>
      <w:bCs/>
      <w:kern w:val="2"/>
      <w:sz w:val="32"/>
      <w:szCs w:val="32"/>
    </w:rPr>
  </w:style>
  <w:style w:type="character" w:customStyle="1" w:styleId="56">
    <w:name w:val="标题 3 字符"/>
    <w:link w:val="4"/>
    <w:qFormat/>
    <w:uiPriority w:val="0"/>
    <w:rPr>
      <w:b/>
      <w:sz w:val="32"/>
    </w:rPr>
  </w:style>
  <w:style w:type="character" w:customStyle="1" w:styleId="57">
    <w:name w:val="标题 4 字符"/>
    <w:link w:val="6"/>
    <w:qFormat/>
    <w:uiPriority w:val="0"/>
    <w:rPr>
      <w:rFonts w:ascii="Arial" w:hAnsi="Arial" w:eastAsia="黑体"/>
      <w:b/>
      <w:bCs/>
      <w:kern w:val="2"/>
      <w:sz w:val="28"/>
      <w:szCs w:val="28"/>
    </w:rPr>
  </w:style>
  <w:style w:type="character" w:customStyle="1" w:styleId="58">
    <w:name w:val="标题 6 字符"/>
    <w:link w:val="7"/>
    <w:qFormat/>
    <w:uiPriority w:val="0"/>
    <w:rPr>
      <w:rFonts w:ascii="Arial" w:hAnsi="Arial" w:eastAsia="黑体"/>
      <w:b/>
      <w:bCs/>
      <w:sz w:val="24"/>
      <w:szCs w:val="24"/>
    </w:rPr>
  </w:style>
  <w:style w:type="character" w:customStyle="1" w:styleId="59">
    <w:name w:val="标题 7 字符"/>
    <w:link w:val="8"/>
    <w:qFormat/>
    <w:uiPriority w:val="0"/>
    <w:rPr>
      <w:b/>
      <w:bCs/>
      <w:sz w:val="24"/>
      <w:szCs w:val="24"/>
    </w:rPr>
  </w:style>
  <w:style w:type="character" w:customStyle="1" w:styleId="60">
    <w:name w:val="标题 8 字符"/>
    <w:link w:val="9"/>
    <w:qFormat/>
    <w:uiPriority w:val="0"/>
    <w:rPr>
      <w:rFonts w:ascii="Arial" w:hAnsi="Arial" w:eastAsia="黑体"/>
      <w:sz w:val="24"/>
      <w:szCs w:val="24"/>
    </w:rPr>
  </w:style>
  <w:style w:type="character" w:customStyle="1" w:styleId="61">
    <w:name w:val="标题 9 字符"/>
    <w:link w:val="10"/>
    <w:qFormat/>
    <w:uiPriority w:val="0"/>
    <w:rPr>
      <w:rFonts w:ascii="Arial" w:hAnsi="Arial" w:eastAsia="黑体"/>
      <w:sz w:val="21"/>
      <w:szCs w:val="21"/>
    </w:rPr>
  </w:style>
  <w:style w:type="character" w:customStyle="1" w:styleId="62">
    <w:name w:val="正文文本 字符"/>
    <w:link w:val="16"/>
    <w:qFormat/>
    <w:uiPriority w:val="0"/>
    <w:rPr>
      <w:b/>
      <w:bCs/>
      <w:kern w:val="2"/>
      <w:sz w:val="24"/>
    </w:rPr>
  </w:style>
  <w:style w:type="character" w:customStyle="1" w:styleId="63">
    <w:name w:val="正文文本首行缩进 字符"/>
    <w:link w:val="39"/>
    <w:qFormat/>
    <w:uiPriority w:val="0"/>
    <w:rPr>
      <w:kern w:val="2"/>
      <w:sz w:val="21"/>
      <w:szCs w:val="24"/>
    </w:rPr>
  </w:style>
  <w:style w:type="character" w:customStyle="1" w:styleId="64">
    <w:name w:val="正文文本缩进 字符"/>
    <w:link w:val="17"/>
    <w:qFormat/>
    <w:uiPriority w:val="0"/>
    <w:rPr>
      <w:rFonts w:ascii="仿宋_GB2312" w:eastAsia="仿宋_GB2312"/>
      <w:kern w:val="2"/>
      <w:sz w:val="30"/>
    </w:rPr>
  </w:style>
  <w:style w:type="character" w:customStyle="1" w:styleId="65">
    <w:name w:val="正文文本首行缩进 2 字符"/>
    <w:link w:val="40"/>
    <w:qFormat/>
    <w:uiPriority w:val="0"/>
    <w:rPr>
      <w:rFonts w:ascii="仿宋_GB2312" w:eastAsia="仿宋_GB2312"/>
      <w:kern w:val="2"/>
      <w:sz w:val="21"/>
      <w:szCs w:val="24"/>
    </w:rPr>
  </w:style>
  <w:style w:type="paragraph" w:customStyle="1" w:styleId="66">
    <w:name w:val="Char Char Char"/>
    <w:basedOn w:val="1"/>
    <w:qFormat/>
    <w:uiPriority w:val="0"/>
    <w:rPr>
      <w:rFonts w:ascii="Tahoma" w:hAnsi="Tahoma" w:eastAsia="仿宋_GB2312"/>
      <w:snapToGrid w:val="0"/>
      <w:kern w:val="0"/>
      <w:sz w:val="24"/>
      <w:szCs w:val="20"/>
    </w:rPr>
  </w:style>
  <w:style w:type="character" w:customStyle="1" w:styleId="67">
    <w:name w:val="访问过的超链接1"/>
    <w:qFormat/>
    <w:uiPriority w:val="0"/>
    <w:rPr>
      <w:color w:val="800080"/>
      <w:u w:val="single"/>
    </w:rPr>
  </w:style>
  <w:style w:type="character" w:customStyle="1" w:styleId="68">
    <w:name w:val="正文文本 3 字符"/>
    <w:link w:val="15"/>
    <w:qFormat/>
    <w:uiPriority w:val="0"/>
    <w:rPr>
      <w:kern w:val="2"/>
      <w:sz w:val="16"/>
      <w:szCs w:val="16"/>
    </w:rPr>
  </w:style>
  <w:style w:type="paragraph" w:styleId="69">
    <w:name w:val="List Paragraph"/>
    <w:basedOn w:val="1"/>
    <w:link w:val="100"/>
    <w:qFormat/>
    <w:uiPriority w:val="99"/>
    <w:pPr>
      <w:ind w:firstLine="420" w:firstLineChars="200"/>
    </w:pPr>
    <w:rPr>
      <w:rFonts w:ascii="Calibri" w:hAnsi="Calibri"/>
      <w:szCs w:val="22"/>
    </w:rPr>
  </w:style>
  <w:style w:type="character" w:customStyle="1" w:styleId="70">
    <w:name w:val="纯文本 字符"/>
    <w:link w:val="21"/>
    <w:qFormat/>
    <w:uiPriority w:val="0"/>
    <w:rPr>
      <w:rFonts w:ascii="宋体" w:hAnsi="Courier New"/>
      <w:kern w:val="2"/>
      <w:sz w:val="21"/>
      <w:szCs w:val="21"/>
    </w:rPr>
  </w:style>
  <w:style w:type="paragraph" w:customStyle="1" w:styleId="71">
    <w:name w:val="p0"/>
    <w:basedOn w:val="1"/>
    <w:qFormat/>
    <w:uiPriority w:val="0"/>
    <w:pPr>
      <w:widowControl/>
    </w:pPr>
    <w:rPr>
      <w:kern w:val="0"/>
      <w:szCs w:val="21"/>
    </w:rPr>
  </w:style>
  <w:style w:type="paragraph" w:customStyle="1" w:styleId="72">
    <w:name w:val="列表内容"/>
    <w:basedOn w:val="1"/>
    <w:next w:val="1"/>
    <w:qFormat/>
    <w:uiPriority w:val="0"/>
    <w:pPr>
      <w:widowControl/>
      <w:numPr>
        <w:ilvl w:val="0"/>
        <w:numId w:val="3"/>
      </w:numPr>
      <w:tabs>
        <w:tab w:val="left" w:pos="840"/>
      </w:tabs>
      <w:jc w:val="left"/>
    </w:pPr>
    <w:rPr>
      <w:kern w:val="0"/>
      <w:sz w:val="18"/>
    </w:rPr>
  </w:style>
  <w:style w:type="character" w:customStyle="1" w:styleId="73">
    <w:name w:val="文档结构图 字符"/>
    <w:link w:val="13"/>
    <w:qFormat/>
    <w:uiPriority w:val="0"/>
    <w:rPr>
      <w:kern w:val="2"/>
      <w:sz w:val="21"/>
      <w:szCs w:val="24"/>
      <w:shd w:val="clear" w:color="auto" w:fill="000080"/>
    </w:rPr>
  </w:style>
  <w:style w:type="character" w:customStyle="1" w:styleId="74">
    <w:name w:val="页眉 字符"/>
    <w:link w:val="27"/>
    <w:qFormat/>
    <w:uiPriority w:val="0"/>
    <w:rPr>
      <w:kern w:val="2"/>
      <w:sz w:val="18"/>
    </w:rPr>
  </w:style>
  <w:style w:type="character" w:customStyle="1" w:styleId="75">
    <w:name w:val="页脚 字符"/>
    <w:link w:val="26"/>
    <w:qFormat/>
    <w:uiPriority w:val="99"/>
    <w:rPr>
      <w:kern w:val="2"/>
      <w:sz w:val="18"/>
    </w:rPr>
  </w:style>
  <w:style w:type="character" w:customStyle="1" w:styleId="76">
    <w:name w:val="批注文字 字符"/>
    <w:link w:val="14"/>
    <w:qFormat/>
    <w:uiPriority w:val="0"/>
    <w:rPr>
      <w:kern w:val="2"/>
      <w:sz w:val="21"/>
    </w:rPr>
  </w:style>
  <w:style w:type="character" w:customStyle="1" w:styleId="77">
    <w:name w:val="批注主题 字符"/>
    <w:link w:val="38"/>
    <w:qFormat/>
    <w:uiPriority w:val="0"/>
    <w:rPr>
      <w:b/>
      <w:bCs/>
      <w:kern w:val="2"/>
      <w:sz w:val="21"/>
    </w:rPr>
  </w:style>
  <w:style w:type="paragraph" w:customStyle="1" w:styleId="78">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9">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80">
    <w:name w:val="param-name param-explain"/>
    <w:qFormat/>
    <w:uiPriority w:val="0"/>
  </w:style>
  <w:style w:type="character" w:customStyle="1" w:styleId="81">
    <w:name w:val="正文文本缩进 2 字符"/>
    <w:link w:val="24"/>
    <w:qFormat/>
    <w:uiPriority w:val="0"/>
    <w:rPr>
      <w:kern w:val="2"/>
      <w:sz w:val="21"/>
      <w:szCs w:val="24"/>
    </w:rPr>
  </w:style>
  <w:style w:type="character" w:customStyle="1" w:styleId="82">
    <w:name w:val="正文文本缩进 3 字符"/>
    <w:link w:val="32"/>
    <w:qFormat/>
    <w:uiPriority w:val="0"/>
    <w:rPr>
      <w:kern w:val="2"/>
      <w:sz w:val="16"/>
      <w:szCs w:val="16"/>
    </w:rPr>
  </w:style>
  <w:style w:type="character" w:customStyle="1" w:styleId="83">
    <w:name w:val="正文文本 2 字符"/>
    <w:link w:val="35"/>
    <w:qFormat/>
    <w:uiPriority w:val="0"/>
    <w:rPr>
      <w:rFonts w:ascii="宋体" w:hAnsi="宋体"/>
      <w:kern w:val="2"/>
      <w:sz w:val="24"/>
    </w:rPr>
  </w:style>
  <w:style w:type="character" w:customStyle="1" w:styleId="84">
    <w:name w:val="日期 字符"/>
    <w:link w:val="23"/>
    <w:qFormat/>
    <w:uiPriority w:val="0"/>
    <w:rPr>
      <w:rFonts w:ascii="宋体"/>
      <w:sz w:val="30"/>
    </w:rPr>
  </w:style>
  <w:style w:type="character" w:customStyle="1" w:styleId="85">
    <w:name w:val="标题 1 Char1"/>
    <w:qFormat/>
    <w:uiPriority w:val="0"/>
    <w:rPr>
      <w:rFonts w:ascii="仿宋_GB2312" w:hAnsi="宋体" w:eastAsia="仿宋_GB2312"/>
      <w:b/>
      <w:bCs/>
      <w:snapToGrid/>
      <w:kern w:val="44"/>
      <w:sz w:val="44"/>
      <w:szCs w:val="44"/>
    </w:rPr>
  </w:style>
  <w:style w:type="paragraph" w:customStyle="1" w:styleId="86">
    <w:name w:val="Char Char Char2"/>
    <w:basedOn w:val="1"/>
    <w:qFormat/>
    <w:uiPriority w:val="0"/>
    <w:pPr>
      <w:snapToGrid w:val="0"/>
    </w:pPr>
    <w:rPr>
      <w:rFonts w:ascii="Tahoma" w:hAnsi="Tahoma" w:eastAsia="仿宋_GB2312"/>
      <w:kern w:val="0"/>
      <w:sz w:val="24"/>
      <w:szCs w:val="20"/>
    </w:rPr>
  </w:style>
  <w:style w:type="paragraph" w:customStyle="1" w:styleId="87">
    <w:name w:val="Char Char Char Char1"/>
    <w:basedOn w:val="1"/>
    <w:autoRedefine/>
    <w:qFormat/>
    <w:uiPriority w:val="0"/>
    <w:rPr>
      <w:rFonts w:ascii="Tahoma" w:hAnsi="Tahoma"/>
      <w:sz w:val="24"/>
      <w:szCs w:val="20"/>
    </w:rPr>
  </w:style>
  <w:style w:type="character" w:customStyle="1" w:styleId="88">
    <w:name w:val="标题 2 字符"/>
    <w:link w:val="3"/>
    <w:qFormat/>
    <w:uiPriority w:val="0"/>
    <w:rPr>
      <w:rFonts w:ascii="Arial" w:hAnsi="Arial" w:eastAsia="黑体"/>
      <w:b/>
      <w:bCs/>
      <w:kern w:val="2"/>
      <w:sz w:val="32"/>
      <w:szCs w:val="32"/>
    </w:rPr>
  </w:style>
  <w:style w:type="character" w:customStyle="1" w:styleId="89">
    <w:name w:val="正文缩进 字符"/>
    <w:link w:val="5"/>
    <w:qFormat/>
    <w:uiPriority w:val="0"/>
    <w:rPr>
      <w:rFonts w:eastAsia="楷体_GB2312"/>
      <w:kern w:val="2"/>
      <w:sz w:val="24"/>
    </w:rPr>
  </w:style>
  <w:style w:type="character" w:customStyle="1" w:styleId="90">
    <w:name w:val="Char Char11"/>
    <w:qFormat/>
    <w:uiPriority w:val="0"/>
    <w:rPr>
      <w:rFonts w:ascii="Arial" w:hAnsi="Arial" w:eastAsia="黑体"/>
      <w:b/>
      <w:bCs/>
      <w:kern w:val="2"/>
      <w:sz w:val="32"/>
      <w:szCs w:val="32"/>
      <w:lang w:val="en-US" w:eastAsia="zh-CN" w:bidi="ar-SA"/>
    </w:rPr>
  </w:style>
  <w:style w:type="character" w:customStyle="1" w:styleId="91">
    <w:name w:val="批注框文本 字符"/>
    <w:link w:val="25"/>
    <w:semiHidden/>
    <w:qFormat/>
    <w:uiPriority w:val="0"/>
    <w:rPr>
      <w:kern w:val="2"/>
      <w:sz w:val="18"/>
      <w:szCs w:val="18"/>
    </w:rPr>
  </w:style>
  <w:style w:type="paragraph" w:customStyle="1" w:styleId="92">
    <w:name w:val="Char Char Char1"/>
    <w:basedOn w:val="1"/>
    <w:qFormat/>
    <w:uiPriority w:val="0"/>
    <w:rPr>
      <w:rFonts w:ascii="Tahoma" w:hAnsi="Tahoma"/>
      <w:sz w:val="24"/>
      <w:szCs w:val="20"/>
    </w:rPr>
  </w:style>
  <w:style w:type="paragraph" w:customStyle="1" w:styleId="93">
    <w:name w:val="1"/>
    <w:basedOn w:val="16"/>
    <w:next w:val="39"/>
    <w:link w:val="94"/>
    <w:qFormat/>
    <w:uiPriority w:val="0"/>
    <w:pPr>
      <w:spacing w:after="120" w:line="240" w:lineRule="auto"/>
      <w:ind w:firstLine="420" w:firstLineChars="100"/>
    </w:pPr>
    <w:rPr>
      <w:b w:val="0"/>
      <w:bCs w:val="0"/>
      <w:sz w:val="21"/>
      <w:szCs w:val="24"/>
    </w:rPr>
  </w:style>
  <w:style w:type="character" w:customStyle="1" w:styleId="94">
    <w:name w:val="正文首行缩进 Char"/>
    <w:link w:val="93"/>
    <w:qFormat/>
    <w:uiPriority w:val="0"/>
    <w:rPr>
      <w:kern w:val="2"/>
      <w:sz w:val="21"/>
      <w:szCs w:val="24"/>
    </w:rPr>
  </w:style>
  <w:style w:type="character" w:customStyle="1" w:styleId="95">
    <w:name w:val="正文文本缩进 2 Char"/>
    <w:qFormat/>
    <w:uiPriority w:val="0"/>
    <w:rPr>
      <w:kern w:val="2"/>
      <w:sz w:val="21"/>
      <w:szCs w:val="24"/>
    </w:rPr>
  </w:style>
  <w:style w:type="character" w:customStyle="1" w:styleId="96">
    <w:name w:val="qowt-font4"/>
    <w:qFormat/>
    <w:uiPriority w:val="0"/>
  </w:style>
  <w:style w:type="paragraph" w:customStyle="1" w:styleId="97">
    <w:name w:val="qowt-stl-正文"/>
    <w:basedOn w:val="1"/>
    <w:qFormat/>
    <w:uiPriority w:val="0"/>
    <w:pPr>
      <w:widowControl/>
      <w:spacing w:before="100" w:beforeAutospacing="1" w:after="100" w:afterAutospacing="1"/>
      <w:jc w:val="left"/>
    </w:pPr>
    <w:rPr>
      <w:rFonts w:ascii="宋体" w:hAnsi="宋体" w:cs="宋体"/>
      <w:kern w:val="0"/>
      <w:sz w:val="24"/>
    </w:rPr>
  </w:style>
  <w:style w:type="paragraph" w:customStyle="1" w:styleId="9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9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snapToGrid/>
      <w:color w:val="376092" w:themeColor="accent1" w:themeShade="BF"/>
      <w:kern w:val="0"/>
      <w:sz w:val="32"/>
      <w:szCs w:val="32"/>
    </w:rPr>
  </w:style>
  <w:style w:type="character" w:customStyle="1" w:styleId="100">
    <w:name w:val="列表段落 字符"/>
    <w:link w:val="69"/>
    <w:qFormat/>
    <w:locked/>
    <w:uiPriority w:val="34"/>
    <w:rPr>
      <w:rFonts w:ascii="Calibri" w:hAnsi="Calibri"/>
      <w:kern w:val="2"/>
      <w:sz w:val="21"/>
      <w:szCs w:val="22"/>
    </w:rPr>
  </w:style>
  <w:style w:type="character" w:customStyle="1" w:styleId="101">
    <w:name w:val="列出段落 Char1"/>
    <w:qFormat/>
    <w:locked/>
    <w:uiPriority w:val="34"/>
    <w:rPr>
      <w:rFonts w:ascii="Calibri" w:hAnsi="Calibri"/>
      <w:kern w:val="2"/>
      <w:sz w:val="21"/>
      <w:szCs w:val="22"/>
    </w:rPr>
  </w:style>
  <w:style w:type="paragraph" w:customStyle="1" w:styleId="10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103">
    <w:name w:val="列出段落1"/>
    <w:basedOn w:val="1"/>
    <w:qFormat/>
    <w:uiPriority w:val="0"/>
    <w:pPr>
      <w:ind w:firstLine="420" w:firstLineChars="200"/>
    </w:pPr>
    <w:rPr>
      <w:szCs w:val="21"/>
    </w:rPr>
  </w:style>
  <w:style w:type="paragraph" w:customStyle="1" w:styleId="104">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105">
    <w:name w:val="font31"/>
    <w:basedOn w:val="43"/>
    <w:qFormat/>
    <w:uiPriority w:val="0"/>
    <w:rPr>
      <w:rFonts w:ascii="宋体" w:hAnsi="宋体" w:eastAsia="宋体" w:cs="宋体"/>
      <w:color w:val="000000"/>
      <w:sz w:val="20"/>
      <w:szCs w:val="20"/>
      <w:u w:val="none"/>
    </w:rPr>
  </w:style>
  <w:style w:type="character" w:customStyle="1" w:styleId="106">
    <w:name w:val="font41"/>
    <w:basedOn w:val="43"/>
    <w:qFormat/>
    <w:uiPriority w:val="0"/>
    <w:rPr>
      <w:rFonts w:ascii="宋体" w:hAnsi="宋体" w:eastAsia="宋体" w:cs="宋体"/>
      <w:color w:val="000000"/>
      <w:sz w:val="20"/>
      <w:szCs w:val="20"/>
      <w:u w:val="none"/>
    </w:rPr>
  </w:style>
  <w:style w:type="character" w:customStyle="1" w:styleId="107">
    <w:name w:val="font51"/>
    <w:basedOn w:val="43"/>
    <w:qFormat/>
    <w:uiPriority w:val="0"/>
    <w:rPr>
      <w:rFonts w:hint="eastAsia" w:ascii="宋体" w:hAnsi="宋体" w:eastAsia="宋体" w:cs="宋体"/>
      <w:color w:val="000000"/>
      <w:sz w:val="20"/>
      <w:szCs w:val="20"/>
      <w:u w:val="none"/>
    </w:rPr>
  </w:style>
  <w:style w:type="character" w:customStyle="1" w:styleId="108">
    <w:name w:val="页眉 字符1"/>
    <w:basedOn w:val="43"/>
    <w:qFormat/>
    <w:uiPriority w:val="0"/>
    <w:rPr>
      <w:rFonts w:ascii="Times New Roman" w:hAnsi="Times New Roman" w:eastAsia="宋体" w:cs="Times New Roman"/>
      <w:sz w:val="18"/>
      <w:szCs w:val="20"/>
    </w:rPr>
  </w:style>
  <w:style w:type="character" w:customStyle="1" w:styleId="109">
    <w:name w:val="font131"/>
    <w:basedOn w:val="43"/>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3.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theme" Target="theme/theme1.xml"/><Relationship Id="rId27" Type="http://schemas.openxmlformats.org/officeDocument/2006/relationships/footer" Target="footer11.xml"/><Relationship Id="rId26" Type="http://schemas.openxmlformats.org/officeDocument/2006/relationships/header" Target="header14.xml"/><Relationship Id="rId25" Type="http://schemas.openxmlformats.org/officeDocument/2006/relationships/header" Target="header13.xml"/><Relationship Id="rId24" Type="http://schemas.openxmlformats.org/officeDocument/2006/relationships/footer" Target="footer10.xml"/><Relationship Id="rId23" Type="http://schemas.openxmlformats.org/officeDocument/2006/relationships/footer" Target="footer9.xml"/><Relationship Id="rId22" Type="http://schemas.openxmlformats.org/officeDocument/2006/relationships/header" Target="header12.xml"/><Relationship Id="rId21" Type="http://schemas.openxmlformats.org/officeDocument/2006/relationships/header" Target="header11.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1026" textRotate="1"/>
    <customShpInfo spid="_x0000_s4099"/>
    <customShpInfo spid="_x0000_s4098"/>
    <customShpInfo spid="_x0000_s4101"/>
    <customShpInfo spid="_x0000_s4100"/>
    <customShpInfo spid="_x0000_s4103"/>
    <customShpInfo spid="_x0000_s4102"/>
    <customShpInfo spid="_x0000_s4105"/>
    <customShpInfo spid="_x0000_s4104"/>
    <customShpInfo spid="_x0000_s4107"/>
    <customShpInfo spid="_x0000_s410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386F5B-9B1A-481D-AC7A-24F342114537}">
  <ds:schemaRefs/>
</ds:datastoreItem>
</file>

<file path=customXml/itemProps3.xml><?xml version="1.0" encoding="utf-8"?>
<ds:datastoreItem xmlns:ds="http://schemas.openxmlformats.org/officeDocument/2006/customXml" ds:itemID="{73015226-1E40-4EA9-97BC-5E7D9B3047B6}">
  <ds:schemaRefs/>
</ds:datastoreItem>
</file>

<file path=docProps/app.xml><?xml version="1.0" encoding="utf-8"?>
<Properties xmlns="http://schemas.openxmlformats.org/officeDocument/2006/extended-properties" xmlns:vt="http://schemas.openxmlformats.org/officeDocument/2006/docPropsVTypes">
  <Template>Normal.dotm</Template>
  <Company>Legend (Beijing) Limited</Company>
  <Pages>110</Pages>
  <Words>17103</Words>
  <Characters>20857</Characters>
  <Lines>327</Lines>
  <Paragraphs>92</Paragraphs>
  <TotalTime>15</TotalTime>
  <ScaleCrop>false</ScaleCrop>
  <LinksUpToDate>false</LinksUpToDate>
  <CharactersWithSpaces>21570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2026-02-06T05:49:00Z</dcterms:created>
  <dc:creator>Legend User</dc:creator>
  <cp:lastModifiedBy>好运来</cp:lastModifiedBy>
  <cp:lastPrinted>2026-03-10T06:39:49Z</cp:lastPrinted>
  <dcterms:modified xsi:type="dcterms:W3CDTF">2026-03-10T06:42:59Z</dcterms:modified>
  <dc:title>招标文件编号：JZC2004—20</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eyJoZGlkIjoiM2MyMTYxMmYxOTkwNzkxZjAxMjRkM2M2ZGQwM2MwOWQiLCJ1c2VySWQiOiIxNzYxNDAxMDgyIn0=</vt:lpwstr>
  </property>
  <property fmtid="{D5CDD505-2E9C-101B-9397-08002B2CF9AE}" pid="4" name="ICV">
    <vt:lpwstr>02E2807E397A42E89D5AC5FBE88FAF79_12</vt:lpwstr>
  </property>
</Properties>
</file>